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96D" w:rsidRPr="00B55935" w:rsidRDefault="0000796D" w:rsidP="0000796D">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#88</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w:t>
      </w:r>
      <w:r w:rsidR="008743EE">
        <w:rPr>
          <w:rFonts w:ascii="Calibri" w:eastAsia="新細明體" w:hAnsi="Calibri" w:cs="Arial"/>
          <w:noProof w:val="0"/>
          <w:sz w:val="24"/>
          <w:szCs w:val="24"/>
          <w:lang w:eastAsia="ja-JP"/>
        </w:rPr>
        <w:t>10022</w:t>
      </w:r>
      <w:bookmarkStart w:id="2" w:name="_GoBack"/>
      <w:bookmarkEnd w:id="2"/>
    </w:p>
    <w:p w:rsidR="0000796D" w:rsidRPr="001800D2" w:rsidRDefault="0000796D" w:rsidP="0000796D">
      <w:pPr>
        <w:tabs>
          <w:tab w:val="left" w:pos="1985"/>
        </w:tabs>
        <w:jc w:val="both"/>
        <w:rPr>
          <w:rFonts w:ascii="Calibri" w:eastAsia="新細明體" w:hAnsi="Calibri" w:cs="Arial"/>
          <w:b/>
          <w:sz w:val="24"/>
          <w:szCs w:val="24"/>
          <w:lang w:eastAsia="ja-JP"/>
        </w:rPr>
      </w:pPr>
      <w:r w:rsidRPr="001800D2">
        <w:rPr>
          <w:rFonts w:ascii="Calibri" w:eastAsia="新細明體" w:hAnsi="Calibri" w:cs="Arial"/>
          <w:b/>
          <w:sz w:val="24"/>
          <w:szCs w:val="24"/>
          <w:lang w:eastAsia="ja-JP"/>
        </w:rPr>
        <w:t>Gothenburg, Sweden, August 20</w:t>
      </w:r>
      <w:r w:rsidRPr="00166A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–24</w:t>
      </w:r>
      <w:r w:rsidRPr="00166A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rsidR="00AE115A" w:rsidRPr="0000796D" w:rsidRDefault="00AE115A" w:rsidP="00AE115A">
      <w:pPr>
        <w:pStyle w:val="a3"/>
        <w:rPr>
          <w:rFonts w:ascii="Calibri" w:hAnsi="Calibri"/>
          <w:bCs/>
          <w:noProof w:val="0"/>
          <w:sz w:val="24"/>
          <w:lang w:eastAsia="ja-JP"/>
        </w:rPr>
      </w:pPr>
    </w:p>
    <w:p w:rsidR="00AE115A" w:rsidRPr="00FD1290" w:rsidRDefault="00AE115A" w:rsidP="00AE115A">
      <w:pPr>
        <w:rPr>
          <w:rFonts w:cs="Arial"/>
          <w:b/>
          <w:bCs/>
          <w:sz w:val="24"/>
          <w:szCs w:val="20"/>
        </w:rPr>
      </w:pPr>
      <w:r>
        <w:rPr>
          <w:rFonts w:cs="Arial"/>
          <w:b/>
          <w:bCs/>
          <w:sz w:val="24"/>
        </w:rPr>
        <w:t xml:space="preserve">Agenda item:            </w:t>
      </w:r>
      <w:r w:rsidR="00E247D1">
        <w:rPr>
          <w:rFonts w:cs="Arial"/>
          <w:b/>
          <w:bCs/>
          <w:sz w:val="24"/>
        </w:rPr>
        <w:t>7.11.8.4</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91CCD">
        <w:rPr>
          <w:b/>
          <w:bCs/>
          <w:sz w:val="24"/>
          <w:szCs w:val="24"/>
        </w:rPr>
        <w:t>Interruption Due to BWP Switching</w:t>
      </w:r>
      <w:r w:rsidR="00E679C3">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7B7C25" w:rsidRDefault="005A0D71" w:rsidP="00BF44DE">
      <w:pPr>
        <w:pStyle w:val="a5"/>
        <w:jc w:val="both"/>
        <w:rPr>
          <w:rFonts w:asciiTheme="minorHAnsi" w:eastAsiaTheme="minorEastAsia" w:hAnsiTheme="minorHAnsi" w:cstheme="minorBidi"/>
          <w:b w:val="0"/>
          <w:szCs w:val="22"/>
          <w:lang w:val="en-US" w:eastAsia="zh-TW"/>
        </w:rPr>
      </w:pPr>
      <w:bookmarkStart w:id="3" w:name="OLE_LINK1"/>
      <w:bookmarkStart w:id="4" w:name="OLE_LINK2"/>
      <w:bookmarkStart w:id="5" w:name="OLE_LINK132"/>
      <w:bookmarkStart w:id="6" w:name="OLE_LINK133"/>
      <w:r w:rsidRPr="007B7C25">
        <w:rPr>
          <w:rFonts w:asciiTheme="minorHAnsi" w:eastAsiaTheme="minorEastAsia" w:hAnsiTheme="minorHAnsi" w:cstheme="minorBidi"/>
          <w:b w:val="0"/>
          <w:szCs w:val="22"/>
          <w:lang w:val="en-US" w:eastAsia="zh-TW"/>
        </w:rPr>
        <w:t xml:space="preserve">In </w:t>
      </w:r>
      <w:r w:rsidR="004708EF" w:rsidRPr="007B7C25">
        <w:rPr>
          <w:rFonts w:asciiTheme="minorHAnsi" w:eastAsiaTheme="minorEastAsia" w:hAnsiTheme="minorHAnsi" w:cstheme="minorBidi"/>
          <w:b w:val="0"/>
          <w:szCs w:val="22"/>
          <w:lang w:val="en-US" w:eastAsia="zh-TW"/>
        </w:rPr>
        <w:t xml:space="preserve">last RAN4 meeting, </w:t>
      </w:r>
      <w:r w:rsidR="00D611D4" w:rsidRPr="007B7C25">
        <w:rPr>
          <w:rFonts w:asciiTheme="minorHAnsi" w:eastAsiaTheme="minorEastAsia" w:hAnsiTheme="minorHAnsi" w:cstheme="minorBidi"/>
          <w:b w:val="0"/>
          <w:szCs w:val="22"/>
          <w:lang w:val="en-US" w:eastAsia="zh-TW"/>
        </w:rPr>
        <w:t xml:space="preserve">there were some progress on the issue of interruption due to BWP switching </w:t>
      </w:r>
      <w:r w:rsidR="00191CCD" w:rsidRPr="007B7C25">
        <w:rPr>
          <w:rFonts w:asciiTheme="minorHAnsi" w:eastAsiaTheme="minorEastAsia" w:hAnsiTheme="minorHAnsi" w:cstheme="minorBidi"/>
          <w:b w:val="0"/>
          <w:szCs w:val="22"/>
          <w:lang w:val="en-US" w:eastAsia="zh-TW"/>
        </w:rPr>
        <w:t>[1]</w:t>
      </w:r>
      <w:r w:rsidR="00D611D4" w:rsidRPr="007B7C25">
        <w:rPr>
          <w:rFonts w:asciiTheme="minorHAnsi" w:eastAsiaTheme="minorEastAsia" w:hAnsiTheme="minorHAnsi" w:cstheme="minorBidi"/>
          <w:b w:val="0"/>
          <w:szCs w:val="22"/>
          <w:lang w:val="en-US" w:eastAsia="zh-TW"/>
        </w:rPr>
        <w:t>, as captured below</w:t>
      </w:r>
      <w:r w:rsidR="00466693" w:rsidRPr="007B7C25">
        <w:rPr>
          <w:rFonts w:asciiTheme="minorHAnsi" w:eastAsiaTheme="minorEastAsia" w:hAnsiTheme="minorHAnsi" w:cstheme="minorBidi"/>
          <w:b w:val="0"/>
          <w:szCs w:val="22"/>
          <w:lang w:val="en-US" w:eastAsia="zh-TW"/>
        </w:rPr>
        <w:t>:</w:t>
      </w:r>
    </w:p>
    <w:tbl>
      <w:tblPr>
        <w:tblStyle w:val="ad"/>
        <w:tblW w:w="0" w:type="auto"/>
        <w:tblInd w:w="-5" w:type="dxa"/>
        <w:tblLook w:val="04A0" w:firstRow="1" w:lastRow="0" w:firstColumn="1" w:lastColumn="0" w:noHBand="0" w:noVBand="1"/>
      </w:tblPr>
      <w:tblGrid>
        <w:gridCol w:w="9634"/>
      </w:tblGrid>
      <w:tr w:rsidR="004708EF" w:rsidRPr="00191CCD" w:rsidTr="00AC359E">
        <w:tc>
          <w:tcPr>
            <w:tcW w:w="9634" w:type="dxa"/>
          </w:tcPr>
          <w:p w:rsidR="00D611D4" w:rsidRPr="007B7C25" w:rsidRDefault="00D611D4" w:rsidP="00D611D4">
            <w:pPr>
              <w:spacing w:afterLines="50" w:after="120"/>
              <w:rPr>
                <w:rFonts w:ascii="Times New Roman" w:hAnsi="Times New Roman" w:cs="Times New Roman"/>
                <w:sz w:val="20"/>
                <w:highlight w:val="green"/>
              </w:rPr>
            </w:pPr>
            <w:r w:rsidRPr="007B7C25">
              <w:rPr>
                <w:rFonts w:ascii="Times New Roman" w:hAnsi="Times New Roman" w:cs="Times New Roman"/>
                <w:sz w:val="20"/>
                <w:highlight w:val="green"/>
              </w:rPr>
              <w:t>For scenario 1, 2 and 3, UE capable of per-FR gap shall not cause interruption to serving cells in FR other than the one where the BWP switching occurs. For UE doesn’t support per-FR gap, the interruption is allowed on all the other serving cells.</w:t>
            </w:r>
          </w:p>
          <w:p w:rsidR="00D611D4" w:rsidRPr="007B7C25" w:rsidRDefault="00D611D4" w:rsidP="00D611D4">
            <w:pPr>
              <w:spacing w:afterLines="50" w:after="120"/>
              <w:rPr>
                <w:rFonts w:ascii="Times New Roman" w:hAnsi="Times New Roman"/>
                <w:sz w:val="20"/>
                <w:highlight w:val="green"/>
              </w:rPr>
            </w:pPr>
            <w:r w:rsidRPr="007B7C25">
              <w:rPr>
                <w:rFonts w:ascii="Times New Roman" w:hAnsi="Times New Roman"/>
                <w:sz w:val="20"/>
                <w:highlight w:val="green"/>
              </w:rPr>
              <w:t>BWP switching involving only baseband parameter change will not cause interruptions.</w:t>
            </w:r>
          </w:p>
          <w:p w:rsidR="004708EF" w:rsidRPr="00D611D4" w:rsidRDefault="00D611D4" w:rsidP="00D611D4">
            <w:pPr>
              <w:spacing w:afterLines="50" w:after="120"/>
              <w:rPr>
                <w:rFonts w:ascii="Times New Roman" w:hAnsi="Times New Roman" w:cs="Times New Roman"/>
              </w:rPr>
            </w:pPr>
            <w:r w:rsidRPr="007B7C25">
              <w:rPr>
                <w:rFonts w:ascii="Times New Roman" w:hAnsi="Times New Roman"/>
                <w:sz w:val="20"/>
                <w:highlight w:val="green"/>
              </w:rPr>
              <w:t>Regarding interruption duration, we can reuse interruption requirements for SCell activation.</w:t>
            </w:r>
          </w:p>
        </w:tc>
      </w:tr>
    </w:tbl>
    <w:p w:rsidR="00D611D4" w:rsidRPr="007B7C25" w:rsidRDefault="00D611D4" w:rsidP="00BF44DE">
      <w:pPr>
        <w:pStyle w:val="a5"/>
        <w:jc w:val="both"/>
        <w:rPr>
          <w:rFonts w:asciiTheme="minorHAnsi" w:eastAsiaTheme="minorEastAsia" w:hAnsiTheme="minorHAnsi" w:cstheme="minorBidi"/>
          <w:b w:val="0"/>
          <w:szCs w:val="22"/>
          <w:lang w:val="en-US" w:eastAsia="zh-TW"/>
        </w:rPr>
      </w:pPr>
      <w:r w:rsidRPr="007B7C25">
        <w:rPr>
          <w:rFonts w:asciiTheme="minorHAnsi" w:eastAsiaTheme="minorEastAsia" w:hAnsiTheme="minorHAnsi" w:cstheme="minorBidi"/>
          <w:b w:val="0"/>
          <w:szCs w:val="22"/>
          <w:lang w:val="en-US" w:eastAsia="zh-TW"/>
        </w:rPr>
        <w:t>In our understanding, there are still some open issues. We list them below</w:t>
      </w:r>
    </w:p>
    <w:p w:rsidR="00611FCD" w:rsidRPr="007B7C25" w:rsidRDefault="00D611D4" w:rsidP="00D611D4">
      <w:pPr>
        <w:pStyle w:val="a5"/>
        <w:numPr>
          <w:ilvl w:val="0"/>
          <w:numId w:val="48"/>
        </w:numPr>
        <w:jc w:val="both"/>
        <w:rPr>
          <w:rFonts w:asciiTheme="minorHAnsi" w:eastAsiaTheme="minorEastAsia" w:hAnsiTheme="minorHAnsi" w:cstheme="minorBidi"/>
          <w:b w:val="0"/>
          <w:szCs w:val="22"/>
          <w:lang w:val="en-US" w:eastAsia="zh-TW"/>
        </w:rPr>
      </w:pPr>
      <w:r w:rsidRPr="007B7C25">
        <w:rPr>
          <w:rFonts w:asciiTheme="minorHAnsi" w:eastAsiaTheme="minorEastAsia" w:hAnsiTheme="minorHAnsi" w:cstheme="minorBidi"/>
          <w:b w:val="0"/>
          <w:szCs w:val="22"/>
          <w:lang w:val="en-US" w:eastAsia="zh-TW"/>
        </w:rPr>
        <w:t>Whether BWP switching involving only SCS change will cause interruptions</w:t>
      </w:r>
    </w:p>
    <w:p w:rsidR="00D611D4" w:rsidRPr="007B7C25" w:rsidRDefault="00D611D4" w:rsidP="00D611D4">
      <w:pPr>
        <w:pStyle w:val="a9"/>
        <w:numPr>
          <w:ilvl w:val="0"/>
          <w:numId w:val="48"/>
        </w:numPr>
        <w:rPr>
          <w:sz w:val="20"/>
          <w:lang w:eastAsia="zh-TW"/>
        </w:rPr>
      </w:pPr>
      <w:r w:rsidRPr="007B7C25">
        <w:rPr>
          <w:sz w:val="20"/>
          <w:lang w:eastAsia="zh-TW"/>
        </w:rPr>
        <w:t>Interruption duration (or requirements)</w:t>
      </w:r>
    </w:p>
    <w:p w:rsidR="00D611D4" w:rsidRPr="007B7C25" w:rsidRDefault="00D611D4" w:rsidP="00D611D4">
      <w:pPr>
        <w:rPr>
          <w:sz w:val="20"/>
          <w:lang w:eastAsia="zh-TW"/>
        </w:rPr>
      </w:pPr>
      <w:r w:rsidRPr="007B7C25">
        <w:rPr>
          <w:sz w:val="20"/>
          <w:lang w:eastAsia="zh-TW"/>
        </w:rPr>
        <w:t>In this paper, we provide our view on the remaining issue.</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D611D4" w:rsidRPr="00D611D4">
        <w:rPr>
          <w:rFonts w:ascii="Calibri" w:eastAsia="新細明體" w:hAnsi="Calibri" w:cs="Calibri"/>
          <w:b/>
          <w:sz w:val="24"/>
          <w:szCs w:val="24"/>
          <w:lang w:eastAsia="zh-TW"/>
        </w:rPr>
        <w:t>Whether BWP switching involving only SCS change will cause interruptions</w:t>
      </w:r>
    </w:p>
    <w:p w:rsidR="00D611D4" w:rsidRDefault="00D611D4" w:rsidP="00D611D4">
      <w:pPr>
        <w:jc w:val="both"/>
        <w:rPr>
          <w:sz w:val="20"/>
        </w:rPr>
      </w:pPr>
      <w:r>
        <w:rPr>
          <w:sz w:val="20"/>
        </w:rPr>
        <w:t>For the 4</w:t>
      </w:r>
      <w:r w:rsidRPr="005F79A9">
        <w:rPr>
          <w:sz w:val="20"/>
          <w:vertAlign w:val="superscript"/>
        </w:rPr>
        <w:t>th</w:t>
      </w:r>
      <w:r>
        <w:rPr>
          <w:sz w:val="20"/>
        </w:rPr>
        <w:t xml:space="preserve"> scenario with only SCS change, whether the interruption will happen is up to UE implementation strategy. </w:t>
      </w:r>
    </w:p>
    <w:p w:rsidR="00D611D4" w:rsidRDefault="00D611D4" w:rsidP="00D611D4">
      <w:pPr>
        <w:pStyle w:val="a9"/>
        <w:numPr>
          <w:ilvl w:val="0"/>
          <w:numId w:val="46"/>
        </w:numPr>
        <w:ind w:left="720"/>
        <w:jc w:val="both"/>
        <w:rPr>
          <w:sz w:val="20"/>
        </w:rPr>
      </w:pPr>
      <w:r w:rsidRPr="00BE7FEA">
        <w:rPr>
          <w:sz w:val="20"/>
        </w:rPr>
        <w:t>If there are some tight baseband resource sharing among different CCs, then interruption may happen.</w:t>
      </w:r>
      <w:r>
        <w:rPr>
          <w:sz w:val="20"/>
        </w:rPr>
        <w:t xml:space="preserve"> </w:t>
      </w:r>
      <w:r w:rsidRPr="00BE7FEA">
        <w:rPr>
          <w:sz w:val="20"/>
        </w:rPr>
        <w:t xml:space="preserve">For an example, the polar decoding engines could be shared among all CCs. Changing the numerology of one CC from 15KHz to 30KHz means that BWP-changing CC needs to access the polar decoding twice as frequent as it did in 15KHz. In this case, </w:t>
      </w:r>
      <w:r>
        <w:rPr>
          <w:sz w:val="20"/>
        </w:rPr>
        <w:t>r</w:t>
      </w:r>
      <w:r w:rsidRPr="00BE7FEA">
        <w:rPr>
          <w:sz w:val="20"/>
        </w:rPr>
        <w:t xml:space="preserve">e-arrangements of the baseband resources inside UE is needed and interruption is expected. </w:t>
      </w:r>
    </w:p>
    <w:p w:rsidR="00D611D4" w:rsidRPr="00BE7FEA" w:rsidRDefault="00D611D4" w:rsidP="00D611D4">
      <w:pPr>
        <w:pStyle w:val="a9"/>
        <w:numPr>
          <w:ilvl w:val="0"/>
          <w:numId w:val="46"/>
        </w:numPr>
        <w:ind w:left="720"/>
        <w:jc w:val="both"/>
        <w:rPr>
          <w:sz w:val="20"/>
        </w:rPr>
      </w:pPr>
      <w:r>
        <w:rPr>
          <w:sz w:val="20"/>
        </w:rPr>
        <w:t>I</w:t>
      </w:r>
      <w:r w:rsidRPr="00BE7FEA">
        <w:rPr>
          <w:sz w:val="20"/>
        </w:rPr>
        <w:t>f there is no such a tight sharing among CCs</w:t>
      </w:r>
      <w:r>
        <w:rPr>
          <w:sz w:val="20"/>
        </w:rPr>
        <w:t>, e.g., dedicated resources are allocated for different CCs</w:t>
      </w:r>
      <w:r w:rsidRPr="00BE7FEA">
        <w:rPr>
          <w:sz w:val="20"/>
        </w:rPr>
        <w:t xml:space="preserve">, then it is possible to avoid the interruption. However, such UE would turn out to have higher complexity and cost. </w:t>
      </w:r>
    </w:p>
    <w:p w:rsidR="00D611D4" w:rsidRDefault="00D611D4" w:rsidP="00D611D4">
      <w:pPr>
        <w:jc w:val="both"/>
        <w:rPr>
          <w:sz w:val="20"/>
        </w:rPr>
      </w:pPr>
      <w:r>
        <w:rPr>
          <w:sz w:val="20"/>
        </w:rPr>
        <w:t>Therefore, in general, we think interruption should also be considered for scenario 4. And this interruption is not limited to FR with the BWP-switching cell. Moreover, it should be noted that the SCS change should be still within UE’s capability. E.g., if UE can only support same numerology for intra-band CA, then it is not possible for a UE to change the SCS for only a single CC in that band.</w:t>
      </w:r>
    </w:p>
    <w:p w:rsidR="00D611D4" w:rsidRDefault="00D611D4" w:rsidP="00D611D4">
      <w:pPr>
        <w:pStyle w:val="a5"/>
        <w:rPr>
          <w:b w:val="0"/>
          <w:u w:val="single"/>
        </w:rPr>
      </w:pPr>
      <w:bookmarkStart w:id="7" w:name="_Ref513559528"/>
      <w:r>
        <w:t xml:space="preserve">Proposal </w:t>
      </w:r>
      <w:r>
        <w:fldChar w:fldCharType="begin"/>
      </w:r>
      <w:r>
        <w:instrText xml:space="preserve"> SEQ Proposal \* ARABIC </w:instrText>
      </w:r>
      <w:r>
        <w:fldChar w:fldCharType="separate"/>
      </w:r>
      <w:r w:rsidR="001A56A8">
        <w:rPr>
          <w:noProof/>
        </w:rPr>
        <w:t>1</w:t>
      </w:r>
      <w:r>
        <w:rPr>
          <w:noProof/>
        </w:rPr>
        <w:fldChar w:fldCharType="end"/>
      </w:r>
      <w:r>
        <w:rPr>
          <w:lang w:val="en-US"/>
        </w:rPr>
        <w:t xml:space="preserve">: </w:t>
      </w:r>
      <w:r w:rsidRPr="005F79A9">
        <w:rPr>
          <w:lang w:val="en-US"/>
        </w:rPr>
        <w:t>BWP reconfiguration scenarios</w:t>
      </w:r>
      <w:r>
        <w:rPr>
          <w:lang w:val="en-US"/>
        </w:rPr>
        <w:t xml:space="preserve"> 4 will cause interruption to other serving cells in all FRs.</w:t>
      </w:r>
      <w:bookmarkEnd w:id="7"/>
      <w:r>
        <w:rPr>
          <w:lang w:val="en-US"/>
        </w:rPr>
        <w:t xml:space="preserve"> </w:t>
      </w:r>
    </w:p>
    <w:p w:rsidR="00BA7B8E" w:rsidRDefault="00BA7B8E" w:rsidP="00BA7B8E">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sidRPr="00466693">
        <w:rPr>
          <w:rFonts w:ascii="Calibri" w:eastAsia="新細明體" w:hAnsi="Calibri" w:cs="Calibri"/>
          <w:b/>
          <w:sz w:val="24"/>
          <w:szCs w:val="24"/>
          <w:lang w:eastAsia="zh-TW"/>
        </w:rPr>
        <w:t xml:space="preserve">Interruption </w:t>
      </w:r>
      <w:r w:rsidR="00D611D4">
        <w:rPr>
          <w:rFonts w:ascii="Calibri" w:eastAsia="新細明體" w:hAnsi="Calibri" w:cs="Calibri"/>
          <w:b/>
          <w:sz w:val="24"/>
          <w:szCs w:val="24"/>
          <w:lang w:eastAsia="zh-TW"/>
        </w:rPr>
        <w:t>Requirement for Scenarios 1, 2 and 3</w:t>
      </w:r>
      <w:r w:rsidRPr="00466693">
        <w:rPr>
          <w:rFonts w:ascii="Calibri" w:eastAsia="新細明體" w:hAnsi="Calibri" w:cs="Calibri"/>
          <w:b/>
          <w:sz w:val="24"/>
          <w:szCs w:val="24"/>
          <w:lang w:eastAsia="zh-TW"/>
        </w:rPr>
        <w:t xml:space="preserve"> </w:t>
      </w:r>
    </w:p>
    <w:p w:rsidR="00D611D4" w:rsidRDefault="00D611D4" w:rsidP="00D611D4">
      <w:pPr>
        <w:jc w:val="both"/>
        <w:rPr>
          <w:sz w:val="20"/>
        </w:rPr>
      </w:pPr>
      <w:r>
        <w:rPr>
          <w:sz w:val="20"/>
        </w:rPr>
        <w:t>It was agreed in high level that the interruption requirement due to BWP switching will follow the interruption requirement of SCell activation. The current interruption requirement</w:t>
      </w:r>
      <w:r w:rsidR="00F7707F">
        <w:rPr>
          <w:sz w:val="20"/>
        </w:rPr>
        <w:t xml:space="preserve"> on NR serving cells</w:t>
      </w:r>
      <w:r>
        <w:rPr>
          <w:sz w:val="20"/>
        </w:rPr>
        <w:t xml:space="preserve"> </w:t>
      </w:r>
      <w:r w:rsidR="00F7707F">
        <w:rPr>
          <w:sz w:val="20"/>
        </w:rPr>
        <w:t>due to</w:t>
      </w:r>
      <w:r>
        <w:rPr>
          <w:sz w:val="20"/>
        </w:rPr>
        <w:t xml:space="preserve"> SCell activation is provided below in </w:t>
      </w:r>
      <w:r w:rsidR="00F7707F">
        <w:rPr>
          <w:sz w:val="20"/>
        </w:rPr>
        <w:fldChar w:fldCharType="begin"/>
      </w:r>
      <w:r w:rsidR="00F7707F">
        <w:rPr>
          <w:sz w:val="20"/>
        </w:rPr>
        <w:instrText xml:space="preserve"> REF _Ref521229367 \h </w:instrText>
      </w:r>
      <w:r w:rsidR="00F7707F">
        <w:rPr>
          <w:sz w:val="20"/>
        </w:rPr>
      </w:r>
      <w:r w:rsidR="00F7707F">
        <w:rPr>
          <w:sz w:val="20"/>
        </w:rPr>
        <w:fldChar w:fldCharType="separate"/>
      </w:r>
      <w:r w:rsidR="001A56A8">
        <w:t xml:space="preserve">Table </w:t>
      </w:r>
      <w:r w:rsidR="001A56A8">
        <w:rPr>
          <w:noProof/>
        </w:rPr>
        <w:t>1</w:t>
      </w:r>
      <w:r w:rsidR="00F7707F">
        <w:rPr>
          <w:sz w:val="20"/>
        </w:rPr>
        <w:fldChar w:fldCharType="end"/>
      </w:r>
      <w:r w:rsidR="00F7707F">
        <w:rPr>
          <w:sz w:val="20"/>
        </w:rPr>
        <w:t>.</w:t>
      </w:r>
    </w:p>
    <w:p w:rsidR="00D611D4" w:rsidRPr="00F7707F" w:rsidRDefault="00F7707F" w:rsidP="00F7707F">
      <w:pPr>
        <w:pStyle w:val="a5"/>
        <w:jc w:val="center"/>
        <w:rPr>
          <w:lang w:val="en-US"/>
        </w:rPr>
      </w:pPr>
      <w:bookmarkStart w:id="8" w:name="_Ref521229367"/>
      <w:r>
        <w:t xml:space="preserve">Table </w:t>
      </w:r>
      <w:r w:rsidR="008B2276">
        <w:fldChar w:fldCharType="begin"/>
      </w:r>
      <w:r w:rsidR="008B2276">
        <w:instrText xml:space="preserve"> SEQ Table \* ARABIC </w:instrText>
      </w:r>
      <w:r w:rsidR="008B2276">
        <w:fldChar w:fldCharType="separate"/>
      </w:r>
      <w:r w:rsidR="001A56A8">
        <w:rPr>
          <w:noProof/>
        </w:rPr>
        <w:t>1</w:t>
      </w:r>
      <w:r w:rsidR="008B2276">
        <w:rPr>
          <w:noProof/>
        </w:rPr>
        <w:fldChar w:fldCharType="end"/>
      </w:r>
      <w:bookmarkEnd w:id="8"/>
      <w:r>
        <w:rPr>
          <w:lang w:val="en-US"/>
        </w:rPr>
        <w:t xml:space="preserve">. </w:t>
      </w:r>
      <w:r w:rsidRPr="0049206D">
        <w:rPr>
          <w:lang w:eastAsia="zh-CN"/>
        </w:rPr>
        <w:t xml:space="preserve">Interruption length </w:t>
      </w:r>
      <w:r w:rsidR="009E42F1">
        <w:t xml:space="preserve">on NR serving cells </w:t>
      </w:r>
      <w:r w:rsidRPr="0049206D">
        <w:rPr>
          <w:lang w:eastAsia="zh-CN"/>
        </w:rPr>
        <w:t>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276"/>
        <w:gridCol w:w="2552"/>
      </w:tblGrid>
      <w:tr w:rsidR="00F7707F" w:rsidRPr="0049206D" w:rsidTr="00F7707F">
        <w:trPr>
          <w:trHeight w:val="40"/>
          <w:jc w:val="center"/>
        </w:trPr>
        <w:tc>
          <w:tcPr>
            <w:tcW w:w="1276" w:type="dxa"/>
            <w:vMerge w:val="restart"/>
            <w:vAlign w:val="center"/>
          </w:tcPr>
          <w:p w:rsidR="00F7707F" w:rsidRPr="0049206D" w:rsidRDefault="00F7707F" w:rsidP="00F7707F">
            <w:pPr>
              <w:pStyle w:val="TAH"/>
              <w:spacing w:after="0"/>
            </w:pPr>
            <w:r w:rsidRPr="0049206D">
              <w:lastRenderedPageBreak/>
              <w:t>NR Slot length (ms)</w:t>
            </w:r>
          </w:p>
        </w:tc>
        <w:tc>
          <w:tcPr>
            <w:tcW w:w="2552" w:type="dxa"/>
            <w:gridSpan w:val="2"/>
            <w:vAlign w:val="center"/>
          </w:tcPr>
          <w:p w:rsidR="00F7707F" w:rsidRPr="00F7707F" w:rsidRDefault="00F7707F" w:rsidP="00F7707F">
            <w:pPr>
              <w:pStyle w:val="TAH"/>
              <w:spacing w:after="0"/>
              <w:rPr>
                <w:lang w:val="en-US"/>
              </w:rPr>
            </w:pPr>
            <w:r w:rsidRPr="0049206D">
              <w:t xml:space="preserve">Interruption length </w:t>
            </w:r>
            <w:r>
              <w:rPr>
                <w:lang w:val="en-US"/>
              </w:rPr>
              <w:t>for inter-band case</w:t>
            </w:r>
          </w:p>
        </w:tc>
        <w:tc>
          <w:tcPr>
            <w:tcW w:w="2552" w:type="dxa"/>
            <w:vMerge w:val="restart"/>
            <w:vAlign w:val="center"/>
          </w:tcPr>
          <w:p w:rsidR="00F7707F" w:rsidRPr="00F7707F" w:rsidRDefault="00F7707F" w:rsidP="00F7707F">
            <w:pPr>
              <w:pStyle w:val="TAH"/>
              <w:spacing w:after="0"/>
              <w:rPr>
                <w:lang w:val="en-US"/>
              </w:rPr>
            </w:pPr>
            <w:r w:rsidRPr="0049206D">
              <w:t xml:space="preserve">Interruption length </w:t>
            </w:r>
            <w:r>
              <w:rPr>
                <w:lang w:val="en-US"/>
              </w:rPr>
              <w:t>for intra-band case</w:t>
            </w:r>
          </w:p>
        </w:tc>
      </w:tr>
      <w:tr w:rsidR="00F7707F" w:rsidRPr="0049206D" w:rsidTr="00F7707F">
        <w:trPr>
          <w:trHeight w:val="40"/>
          <w:jc w:val="center"/>
        </w:trPr>
        <w:tc>
          <w:tcPr>
            <w:tcW w:w="1276" w:type="dxa"/>
            <w:vMerge/>
          </w:tcPr>
          <w:p w:rsidR="00F7707F" w:rsidRPr="0049206D" w:rsidRDefault="00F7707F" w:rsidP="00F7707F">
            <w:pPr>
              <w:pStyle w:val="TAH"/>
              <w:spacing w:after="0"/>
            </w:pPr>
          </w:p>
        </w:tc>
        <w:tc>
          <w:tcPr>
            <w:tcW w:w="1276" w:type="dxa"/>
          </w:tcPr>
          <w:p w:rsidR="00F7707F" w:rsidRPr="0049206D" w:rsidRDefault="00F7707F" w:rsidP="00F7707F">
            <w:pPr>
              <w:pStyle w:val="TAH"/>
              <w:spacing w:after="0"/>
            </w:pPr>
            <w:r w:rsidRPr="0049206D">
              <w:rPr>
                <w:rFonts w:hint="eastAsia"/>
              </w:rPr>
              <w:t>Sync</w:t>
            </w:r>
          </w:p>
        </w:tc>
        <w:tc>
          <w:tcPr>
            <w:tcW w:w="1276" w:type="dxa"/>
          </w:tcPr>
          <w:p w:rsidR="00F7707F" w:rsidRPr="0049206D" w:rsidRDefault="00F7707F" w:rsidP="00F7707F">
            <w:pPr>
              <w:pStyle w:val="TAH"/>
              <w:spacing w:after="0"/>
            </w:pPr>
            <w:r w:rsidRPr="0049206D">
              <w:rPr>
                <w:rFonts w:hint="eastAsia"/>
              </w:rPr>
              <w:t>Async</w:t>
            </w:r>
          </w:p>
        </w:tc>
        <w:tc>
          <w:tcPr>
            <w:tcW w:w="2552" w:type="dxa"/>
            <w:vMerge/>
          </w:tcPr>
          <w:p w:rsidR="00F7707F" w:rsidRPr="0049206D" w:rsidRDefault="00F7707F" w:rsidP="00F7707F">
            <w:pPr>
              <w:pStyle w:val="TAH"/>
              <w:spacing w:after="0"/>
            </w:pPr>
          </w:p>
        </w:tc>
      </w:tr>
      <w:tr w:rsidR="00F7707F" w:rsidRPr="0049206D" w:rsidTr="00F45F19">
        <w:trPr>
          <w:jc w:val="center"/>
        </w:trPr>
        <w:tc>
          <w:tcPr>
            <w:tcW w:w="1276" w:type="dxa"/>
          </w:tcPr>
          <w:p w:rsidR="00F7707F" w:rsidRPr="0049206D" w:rsidRDefault="00F7707F" w:rsidP="00F7707F">
            <w:pPr>
              <w:pStyle w:val="TAC"/>
            </w:pPr>
            <w:r w:rsidRPr="0049206D">
              <w:t>1</w:t>
            </w:r>
          </w:p>
        </w:tc>
        <w:tc>
          <w:tcPr>
            <w:tcW w:w="1276" w:type="dxa"/>
          </w:tcPr>
          <w:p w:rsidR="00F7707F" w:rsidRPr="0049206D" w:rsidRDefault="00F7707F" w:rsidP="00F7707F">
            <w:pPr>
              <w:pStyle w:val="TAC"/>
              <w:rPr>
                <w:lang w:eastAsia="zh-CN"/>
              </w:rPr>
            </w:pPr>
            <w:r>
              <w:rPr>
                <w:lang w:eastAsia="zh-CN"/>
              </w:rPr>
              <w:t>1 slot</w:t>
            </w:r>
          </w:p>
        </w:tc>
        <w:tc>
          <w:tcPr>
            <w:tcW w:w="1276" w:type="dxa"/>
          </w:tcPr>
          <w:p w:rsidR="00F7707F" w:rsidRPr="0049206D" w:rsidRDefault="00F7707F" w:rsidP="00F7707F">
            <w:pPr>
              <w:pStyle w:val="TAC"/>
              <w:rPr>
                <w:lang w:eastAsia="zh-CN"/>
              </w:rPr>
            </w:pPr>
            <w:r>
              <w:rPr>
                <w:lang w:eastAsia="zh-CN"/>
              </w:rPr>
              <w:t>2 slots</w:t>
            </w:r>
          </w:p>
        </w:tc>
        <w:tc>
          <w:tcPr>
            <w:tcW w:w="2552" w:type="dxa"/>
          </w:tcPr>
          <w:p w:rsidR="00F7707F" w:rsidRPr="0049206D" w:rsidRDefault="00F7707F" w:rsidP="00F7707F">
            <w:pPr>
              <w:pStyle w:val="TAC"/>
              <w:rPr>
                <w:lang w:eastAsia="zh-CN"/>
              </w:rPr>
            </w:pPr>
            <w:r>
              <w:rPr>
                <w:rFonts w:hint="eastAsia"/>
                <w:lang w:eastAsia="zh-CN"/>
              </w:rPr>
              <w:t>1</w:t>
            </w:r>
            <w:r>
              <w:rPr>
                <w:lang w:eastAsia="zh-CN"/>
              </w:rPr>
              <w:t xml:space="preserve"> slot + SMTC duration</w:t>
            </w:r>
          </w:p>
        </w:tc>
      </w:tr>
      <w:tr w:rsidR="00F7707F" w:rsidRPr="0049206D" w:rsidTr="00F45F19">
        <w:trPr>
          <w:jc w:val="center"/>
        </w:trPr>
        <w:tc>
          <w:tcPr>
            <w:tcW w:w="1276" w:type="dxa"/>
          </w:tcPr>
          <w:p w:rsidR="00F7707F" w:rsidRPr="0049206D" w:rsidRDefault="00F7707F" w:rsidP="00F7707F">
            <w:pPr>
              <w:pStyle w:val="TAC"/>
            </w:pPr>
            <w:r w:rsidRPr="0049206D">
              <w:t>0.5</w:t>
            </w:r>
          </w:p>
        </w:tc>
        <w:tc>
          <w:tcPr>
            <w:tcW w:w="1276" w:type="dxa"/>
          </w:tcPr>
          <w:p w:rsidR="00F7707F" w:rsidRPr="0049206D" w:rsidRDefault="00F7707F" w:rsidP="00F7707F">
            <w:pPr>
              <w:pStyle w:val="TAC"/>
              <w:rPr>
                <w:lang w:eastAsia="zh-CN"/>
              </w:rPr>
            </w:pPr>
            <w:r>
              <w:rPr>
                <w:lang w:eastAsia="zh-CN"/>
              </w:rPr>
              <w:t>1 slot</w:t>
            </w:r>
          </w:p>
        </w:tc>
        <w:tc>
          <w:tcPr>
            <w:tcW w:w="1276" w:type="dxa"/>
          </w:tcPr>
          <w:p w:rsidR="00F7707F" w:rsidRPr="0049206D" w:rsidRDefault="00F7707F" w:rsidP="00F7707F">
            <w:pPr>
              <w:pStyle w:val="TAC"/>
              <w:rPr>
                <w:lang w:eastAsia="zh-CN"/>
              </w:rPr>
            </w:pPr>
            <w:r>
              <w:rPr>
                <w:lang w:eastAsia="zh-CN"/>
              </w:rPr>
              <w:t>2 slots</w:t>
            </w:r>
          </w:p>
        </w:tc>
        <w:tc>
          <w:tcPr>
            <w:tcW w:w="2552" w:type="dxa"/>
          </w:tcPr>
          <w:p w:rsidR="00F7707F" w:rsidRPr="0049206D" w:rsidRDefault="00F7707F" w:rsidP="00F7707F">
            <w:pPr>
              <w:pStyle w:val="TAC"/>
              <w:rPr>
                <w:lang w:eastAsia="zh-CN"/>
              </w:rPr>
            </w:pPr>
            <w:r>
              <w:rPr>
                <w:rFonts w:hint="eastAsia"/>
                <w:lang w:eastAsia="zh-CN"/>
              </w:rPr>
              <w:t>1</w:t>
            </w:r>
            <w:r>
              <w:rPr>
                <w:lang w:eastAsia="zh-CN"/>
              </w:rPr>
              <w:t xml:space="preserve"> slot + SMTC duration</w:t>
            </w:r>
          </w:p>
        </w:tc>
      </w:tr>
      <w:tr w:rsidR="00F7707F" w:rsidRPr="0049206D" w:rsidTr="00F45F19">
        <w:trPr>
          <w:jc w:val="center"/>
        </w:trPr>
        <w:tc>
          <w:tcPr>
            <w:tcW w:w="1276" w:type="dxa"/>
          </w:tcPr>
          <w:p w:rsidR="00F7707F" w:rsidRPr="0049206D" w:rsidRDefault="00F7707F" w:rsidP="00F7707F">
            <w:pPr>
              <w:pStyle w:val="TAC"/>
            </w:pPr>
            <w:r w:rsidRPr="0049206D">
              <w:t>0.25</w:t>
            </w:r>
          </w:p>
        </w:tc>
        <w:tc>
          <w:tcPr>
            <w:tcW w:w="2552" w:type="dxa"/>
            <w:gridSpan w:val="2"/>
          </w:tcPr>
          <w:p w:rsidR="00F7707F" w:rsidRPr="0049206D" w:rsidRDefault="00F7707F" w:rsidP="00F7707F">
            <w:pPr>
              <w:pStyle w:val="TAC"/>
              <w:rPr>
                <w:lang w:eastAsia="zh-CN"/>
              </w:rPr>
            </w:pPr>
            <w:r>
              <w:rPr>
                <w:lang w:eastAsia="zh-CN"/>
              </w:rPr>
              <w:t xml:space="preserve">3 slots </w:t>
            </w:r>
          </w:p>
        </w:tc>
        <w:tc>
          <w:tcPr>
            <w:tcW w:w="2552" w:type="dxa"/>
          </w:tcPr>
          <w:p w:rsidR="00F7707F" w:rsidRPr="0049206D" w:rsidRDefault="00F7707F" w:rsidP="00F7707F">
            <w:pPr>
              <w:pStyle w:val="TAC"/>
              <w:rPr>
                <w:lang w:eastAsia="zh-CN"/>
              </w:rPr>
            </w:pPr>
            <w:r>
              <w:rPr>
                <w:rFonts w:hint="eastAsia"/>
                <w:lang w:eastAsia="zh-CN"/>
              </w:rPr>
              <w:t>2</w:t>
            </w:r>
            <w:r>
              <w:rPr>
                <w:lang w:eastAsia="zh-CN"/>
              </w:rPr>
              <w:t xml:space="preserve"> slots+ SMTC duration</w:t>
            </w:r>
          </w:p>
        </w:tc>
      </w:tr>
      <w:tr w:rsidR="00F7707F" w:rsidRPr="0049206D" w:rsidTr="00F45F19">
        <w:trPr>
          <w:jc w:val="center"/>
        </w:trPr>
        <w:tc>
          <w:tcPr>
            <w:tcW w:w="1276" w:type="dxa"/>
          </w:tcPr>
          <w:p w:rsidR="00F7707F" w:rsidRPr="0049206D" w:rsidRDefault="00F7707F" w:rsidP="00F7707F">
            <w:pPr>
              <w:pStyle w:val="TAC"/>
            </w:pPr>
            <w:r w:rsidRPr="0049206D">
              <w:t>0.125</w:t>
            </w:r>
          </w:p>
        </w:tc>
        <w:tc>
          <w:tcPr>
            <w:tcW w:w="2552" w:type="dxa"/>
            <w:gridSpan w:val="2"/>
          </w:tcPr>
          <w:p w:rsidR="00F7707F" w:rsidRPr="0049206D" w:rsidRDefault="00F7707F" w:rsidP="00F7707F">
            <w:pPr>
              <w:pStyle w:val="TAC"/>
              <w:rPr>
                <w:lang w:val="en-US" w:eastAsia="zh-CN"/>
              </w:rPr>
            </w:pPr>
            <w:r>
              <w:rPr>
                <w:lang w:eastAsia="zh-CN"/>
              </w:rPr>
              <w:t>5 slots</w:t>
            </w:r>
          </w:p>
        </w:tc>
        <w:tc>
          <w:tcPr>
            <w:tcW w:w="2552" w:type="dxa"/>
          </w:tcPr>
          <w:p w:rsidR="00F7707F" w:rsidRPr="0049206D" w:rsidRDefault="00F7707F" w:rsidP="00F7707F">
            <w:pPr>
              <w:pStyle w:val="TAC"/>
              <w:rPr>
                <w:lang w:eastAsia="zh-CN"/>
              </w:rPr>
            </w:pPr>
            <w:r>
              <w:rPr>
                <w:rFonts w:hint="eastAsia"/>
                <w:lang w:eastAsia="zh-CN"/>
              </w:rPr>
              <w:t>4</w:t>
            </w:r>
            <w:r>
              <w:rPr>
                <w:lang w:eastAsia="zh-CN"/>
              </w:rPr>
              <w:t xml:space="preserve"> slots + SMTC duration</w:t>
            </w:r>
          </w:p>
        </w:tc>
      </w:tr>
    </w:tbl>
    <w:p w:rsidR="00D611D4" w:rsidRDefault="00D611D4" w:rsidP="00D611D4">
      <w:pPr>
        <w:jc w:val="both"/>
        <w:rPr>
          <w:sz w:val="20"/>
        </w:rPr>
      </w:pPr>
    </w:p>
    <w:p w:rsidR="00846169" w:rsidRDefault="009E42F1" w:rsidP="00D611D4">
      <w:pPr>
        <w:jc w:val="both"/>
        <w:rPr>
          <w:sz w:val="20"/>
        </w:rPr>
      </w:pPr>
      <w:r>
        <w:rPr>
          <w:sz w:val="20"/>
        </w:rPr>
        <w:t xml:space="preserve">One thing to be noted first is that in SCell activation, longer interruption is allow for intra-band case because of the need for AGC tuning. </w:t>
      </w:r>
      <w:r w:rsidR="00846169">
        <w:rPr>
          <w:sz w:val="20"/>
        </w:rPr>
        <w:t xml:space="preserve">UE may enlarge its RF bandwidth to include a new SCell at the same band. So that some time is needed for AGC convergence. </w:t>
      </w:r>
    </w:p>
    <w:p w:rsidR="0064664F" w:rsidRDefault="00846169" w:rsidP="00D611D4">
      <w:pPr>
        <w:jc w:val="both"/>
        <w:rPr>
          <w:sz w:val="20"/>
        </w:rPr>
      </w:pPr>
      <w:r>
        <w:rPr>
          <w:sz w:val="20"/>
        </w:rPr>
        <w:t xml:space="preserve">In BWP switching, the situation is a bit different. </w:t>
      </w:r>
    </w:p>
    <w:p w:rsidR="00846169" w:rsidRPr="00717B5D" w:rsidRDefault="0064664F" w:rsidP="00BF5A95">
      <w:pPr>
        <w:pStyle w:val="a9"/>
        <w:numPr>
          <w:ilvl w:val="0"/>
          <w:numId w:val="49"/>
        </w:numPr>
        <w:jc w:val="both"/>
        <w:rPr>
          <w:sz w:val="20"/>
        </w:rPr>
      </w:pPr>
      <w:r w:rsidRPr="00717B5D">
        <w:rPr>
          <w:sz w:val="20"/>
        </w:rPr>
        <w:t xml:space="preserve">As illustrated in </w:t>
      </w:r>
      <w:r w:rsidRPr="00717B5D">
        <w:rPr>
          <w:sz w:val="20"/>
        </w:rPr>
        <w:fldChar w:fldCharType="begin"/>
      </w:r>
      <w:r w:rsidRPr="00717B5D">
        <w:rPr>
          <w:sz w:val="20"/>
        </w:rPr>
        <w:instrText xml:space="preserve"> REF _Ref521230818 \h </w:instrText>
      </w:r>
      <w:r w:rsidRPr="00717B5D">
        <w:rPr>
          <w:sz w:val="20"/>
        </w:rPr>
      </w:r>
      <w:r w:rsidRPr="00717B5D">
        <w:rPr>
          <w:sz w:val="20"/>
        </w:rPr>
        <w:fldChar w:fldCharType="separate"/>
      </w:r>
      <w:r w:rsidR="001A56A8">
        <w:t xml:space="preserve">Figure </w:t>
      </w:r>
      <w:r w:rsidR="001A56A8">
        <w:rPr>
          <w:noProof/>
        </w:rPr>
        <w:t>1</w:t>
      </w:r>
      <w:r w:rsidRPr="00717B5D">
        <w:rPr>
          <w:sz w:val="20"/>
        </w:rPr>
        <w:fldChar w:fldCharType="end"/>
      </w:r>
      <w:r w:rsidRPr="00717B5D">
        <w:rPr>
          <w:sz w:val="20"/>
        </w:rPr>
        <w:t xml:space="preserve">, for SCell activation, completely new cell is added. Therefore UE needs time to converge the AGC. For BWP switching, </w:t>
      </w:r>
      <w:r w:rsidR="00846169" w:rsidRPr="00717B5D">
        <w:rPr>
          <w:sz w:val="20"/>
        </w:rPr>
        <w:t>the same serving cell</w:t>
      </w:r>
      <w:r w:rsidRPr="00717B5D">
        <w:rPr>
          <w:sz w:val="20"/>
        </w:rPr>
        <w:t xml:space="preserve"> #2</w:t>
      </w:r>
      <w:r w:rsidR="00846169" w:rsidRPr="00717B5D">
        <w:rPr>
          <w:sz w:val="20"/>
        </w:rPr>
        <w:t xml:space="preserve"> is transmitting DL signals to UE before and after the switching. </w:t>
      </w:r>
      <w:r w:rsidRPr="00717B5D">
        <w:rPr>
          <w:sz w:val="20"/>
        </w:rPr>
        <w:t>The</w:t>
      </w:r>
      <w:r w:rsidR="005E1693" w:rsidRPr="00717B5D">
        <w:rPr>
          <w:sz w:val="20"/>
        </w:rPr>
        <w:t xml:space="preserve"> propagation loss is</w:t>
      </w:r>
      <w:r w:rsidRPr="00717B5D">
        <w:rPr>
          <w:sz w:val="20"/>
        </w:rPr>
        <w:t xml:space="preserve"> not going to change significantly during the switching delay, e.g., 2 or 3ms. The only factor that may lead to different Rx gain is the exact PRBs to be used for the DL signals. Since UE knows exactly the number of PRBs in the previous BWP and new BWP, UE can pre-adjust its AGC setting to an expected level. Therefore, the additional SMTC duration is not needed for the interruption requirement due to BWP switching.</w:t>
      </w:r>
    </w:p>
    <w:p w:rsidR="009E42F1" w:rsidRDefault="00846169" w:rsidP="005E1693">
      <w:pPr>
        <w:jc w:val="center"/>
        <w:rPr>
          <w:sz w:val="20"/>
        </w:rPr>
      </w:pPr>
      <w:r w:rsidRPr="00846169">
        <w:rPr>
          <w:noProof/>
          <w:lang w:eastAsia="zh-TW"/>
        </w:rPr>
        <w:drawing>
          <wp:inline distT="0" distB="0" distL="0" distR="0" wp14:anchorId="70BBA28C" wp14:editId="6957CC85">
            <wp:extent cx="5176138" cy="12718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0372" cy="1275374"/>
                    </a:xfrm>
                    <a:prstGeom prst="rect">
                      <a:avLst/>
                    </a:prstGeom>
                    <a:noFill/>
                    <a:ln>
                      <a:noFill/>
                    </a:ln>
                  </pic:spPr>
                </pic:pic>
              </a:graphicData>
            </a:graphic>
          </wp:inline>
        </w:drawing>
      </w:r>
    </w:p>
    <w:p w:rsidR="009E42F1" w:rsidRPr="00846169" w:rsidRDefault="00846169" w:rsidP="00846169">
      <w:pPr>
        <w:pStyle w:val="a5"/>
        <w:jc w:val="center"/>
        <w:rPr>
          <w:lang w:val="en-US"/>
        </w:rPr>
      </w:pPr>
      <w:bookmarkStart w:id="9" w:name="_Ref521230818"/>
      <w:r>
        <w:t xml:space="preserve">Figure </w:t>
      </w:r>
      <w:r w:rsidR="008B2276">
        <w:fldChar w:fldCharType="begin"/>
      </w:r>
      <w:r w:rsidR="008B2276">
        <w:instrText xml:space="preserve"> SEQ Figure \* ARABIC </w:instrText>
      </w:r>
      <w:r w:rsidR="008B2276">
        <w:fldChar w:fldCharType="separate"/>
      </w:r>
      <w:r w:rsidR="001A56A8">
        <w:rPr>
          <w:noProof/>
        </w:rPr>
        <w:t>1</w:t>
      </w:r>
      <w:r w:rsidR="008B2276">
        <w:rPr>
          <w:noProof/>
        </w:rPr>
        <w:fldChar w:fldCharType="end"/>
      </w:r>
      <w:bookmarkEnd w:id="9"/>
      <w:r>
        <w:rPr>
          <w:lang w:val="en-US"/>
        </w:rPr>
        <w:t>. Difference between SCell activation and BWP switching</w:t>
      </w:r>
    </w:p>
    <w:p w:rsidR="00E7433E" w:rsidRDefault="00E7433E" w:rsidP="005E1693">
      <w:pPr>
        <w:pStyle w:val="a5"/>
        <w:jc w:val="both"/>
      </w:pPr>
      <w:bookmarkStart w:id="10" w:name="_Ref521233212"/>
    </w:p>
    <w:p w:rsidR="005E1693" w:rsidRPr="00E7433E" w:rsidRDefault="005E1693" w:rsidP="005E1693">
      <w:pPr>
        <w:pStyle w:val="a5"/>
        <w:jc w:val="both"/>
        <w:rPr>
          <w:lang w:val="en-US"/>
        </w:rPr>
      </w:pPr>
      <w:r>
        <w:t xml:space="preserve">Observation </w:t>
      </w:r>
      <w:r w:rsidR="008B2276">
        <w:fldChar w:fldCharType="begin"/>
      </w:r>
      <w:r w:rsidR="008B2276">
        <w:instrText xml:space="preserve"> SEQ Observation \* ARABIC </w:instrText>
      </w:r>
      <w:r w:rsidR="008B2276">
        <w:fldChar w:fldCharType="separate"/>
      </w:r>
      <w:r w:rsidR="001A56A8">
        <w:rPr>
          <w:noProof/>
        </w:rPr>
        <w:t>1</w:t>
      </w:r>
      <w:r w:rsidR="008B2276">
        <w:rPr>
          <w:noProof/>
        </w:rPr>
        <w:fldChar w:fldCharType="end"/>
      </w:r>
      <w:r>
        <w:rPr>
          <w:lang w:val="en-US"/>
        </w:rPr>
        <w:t xml:space="preserve">: </w:t>
      </w:r>
      <w:r w:rsidRPr="0064664F">
        <w:t>UE can pre-adjust its AG</w:t>
      </w:r>
      <w:r>
        <w:t>C setting to an expected level</w:t>
      </w:r>
      <w:r>
        <w:rPr>
          <w:lang w:val="en-US"/>
        </w:rPr>
        <w:t xml:space="preserve"> during BWP switching, because the serving cell is not changing and </w:t>
      </w:r>
      <w:r w:rsidRPr="0064664F">
        <w:t>UE knows exactly the number</w:t>
      </w:r>
      <w:r>
        <w:rPr>
          <w:lang w:val="en-US"/>
        </w:rPr>
        <w:t>s</w:t>
      </w:r>
      <w:r w:rsidRPr="0064664F">
        <w:t xml:space="preserve"> of PRBs </w:t>
      </w:r>
      <w:r>
        <w:t xml:space="preserve">in the previous BWP and </w:t>
      </w:r>
      <w:r>
        <w:rPr>
          <w:lang w:val="en-US"/>
        </w:rPr>
        <w:t xml:space="preserve">in </w:t>
      </w:r>
      <w:r>
        <w:t xml:space="preserve">new </w:t>
      </w:r>
      <w:r w:rsidR="00CC58A7">
        <w:rPr>
          <w:lang w:val="en-US"/>
        </w:rPr>
        <w:t>BWP. Additional STMC duration for AGC is not needed.</w:t>
      </w:r>
      <w:bookmarkEnd w:id="10"/>
      <w:r w:rsidR="00E7433E">
        <w:rPr>
          <w:lang w:val="en-US"/>
        </w:rPr>
        <w:t xml:space="preserve"> </w:t>
      </w:r>
    </w:p>
    <w:p w:rsidR="00E7433E" w:rsidRDefault="00E7433E" w:rsidP="00E7433E">
      <w:pPr>
        <w:pStyle w:val="a9"/>
        <w:jc w:val="both"/>
        <w:rPr>
          <w:sz w:val="20"/>
        </w:rPr>
      </w:pPr>
    </w:p>
    <w:p w:rsidR="009E42F1" w:rsidRPr="005E1693" w:rsidRDefault="005E1693" w:rsidP="005E1693">
      <w:pPr>
        <w:pStyle w:val="a9"/>
        <w:numPr>
          <w:ilvl w:val="0"/>
          <w:numId w:val="49"/>
        </w:numPr>
        <w:jc w:val="both"/>
        <w:rPr>
          <w:sz w:val="20"/>
        </w:rPr>
      </w:pPr>
      <w:r>
        <w:rPr>
          <w:sz w:val="20"/>
        </w:rPr>
        <w:t>Another difference to SCell activation is that BWP switching is not relying on SSB. Actually, the serving cell is not changed after BWP switching, so there is no need to provide additional time or cell search, synchronization and MIB decoding. In other words, BWP switching can be trigger anytime, regardless of the SSB</w:t>
      </w:r>
      <w:r w:rsidR="00E7433E">
        <w:rPr>
          <w:sz w:val="20"/>
        </w:rPr>
        <w:t xml:space="preserve"> timing offset and duration</w:t>
      </w:r>
      <w:r>
        <w:rPr>
          <w:sz w:val="20"/>
        </w:rPr>
        <w:t>. Therefore, there is no need to keep the SMTC duration from intra-band SCell activation in the interruption requirement of BWP switching.</w:t>
      </w:r>
    </w:p>
    <w:p w:rsidR="005E1693" w:rsidRPr="00E7433E" w:rsidRDefault="005E1693" w:rsidP="005E1693">
      <w:pPr>
        <w:pStyle w:val="a5"/>
        <w:jc w:val="both"/>
        <w:rPr>
          <w:lang w:val="en-US"/>
        </w:rPr>
      </w:pPr>
      <w:bookmarkStart w:id="11" w:name="_Ref521233242"/>
      <w:r>
        <w:t xml:space="preserve">Observation </w:t>
      </w:r>
      <w:r w:rsidR="008B2276">
        <w:fldChar w:fldCharType="begin"/>
      </w:r>
      <w:r w:rsidR="008B2276">
        <w:instrText xml:space="preserve"> SEQ Observation \* ARABIC </w:instrText>
      </w:r>
      <w:r w:rsidR="008B2276">
        <w:fldChar w:fldCharType="separate"/>
      </w:r>
      <w:r w:rsidR="001A56A8">
        <w:rPr>
          <w:noProof/>
        </w:rPr>
        <w:t>2</w:t>
      </w:r>
      <w:r w:rsidR="008B2276">
        <w:rPr>
          <w:noProof/>
        </w:rPr>
        <w:fldChar w:fldCharType="end"/>
      </w:r>
      <w:r w:rsidR="00E7433E">
        <w:rPr>
          <w:lang w:val="en-US"/>
        </w:rPr>
        <w:t xml:space="preserve">: </w:t>
      </w:r>
      <w:r w:rsidR="00E7433E">
        <w:t>BWP switching can be trigger anytime, regardless of the SSB</w:t>
      </w:r>
      <w:r w:rsidR="00E7433E">
        <w:rPr>
          <w:lang w:val="en-US"/>
        </w:rPr>
        <w:t xml:space="preserve"> timing offset and duration</w:t>
      </w:r>
      <w:bookmarkEnd w:id="11"/>
    </w:p>
    <w:p w:rsidR="0064664F" w:rsidRDefault="0064664F" w:rsidP="00717B5D">
      <w:pPr>
        <w:jc w:val="both"/>
        <w:rPr>
          <w:sz w:val="20"/>
        </w:rPr>
      </w:pPr>
    </w:p>
    <w:p w:rsidR="00717B5D" w:rsidRDefault="00717B5D" w:rsidP="001C105E">
      <w:pPr>
        <w:jc w:val="both"/>
        <w:rPr>
          <w:sz w:val="20"/>
        </w:rPr>
      </w:pPr>
      <w:r>
        <w:rPr>
          <w:sz w:val="20"/>
        </w:rPr>
        <w:t>Based on</w:t>
      </w:r>
      <w:r w:rsidR="001C105E">
        <w:rPr>
          <w:sz w:val="20"/>
        </w:rPr>
        <w:t xml:space="preserve"> above discussion, we think there is no difference between inter-band and intra-band requirements. Therefore, the i</w:t>
      </w:r>
      <w:r>
        <w:rPr>
          <w:sz w:val="20"/>
        </w:rPr>
        <w:t xml:space="preserve">nterruption requirement due to BWP switching </w:t>
      </w:r>
      <w:r w:rsidR="001C105E">
        <w:rPr>
          <w:sz w:val="20"/>
        </w:rPr>
        <w:t>can be as simple as</w:t>
      </w:r>
      <w:r>
        <w:rPr>
          <w:sz w:val="20"/>
        </w:rPr>
        <w:t xml:space="preserve"> provided in </w:t>
      </w:r>
      <w:r>
        <w:rPr>
          <w:sz w:val="20"/>
        </w:rPr>
        <w:fldChar w:fldCharType="begin"/>
      </w:r>
      <w:r>
        <w:rPr>
          <w:sz w:val="20"/>
        </w:rPr>
        <w:instrText xml:space="preserve"> REF _Ref521232672 \h </w:instrText>
      </w:r>
      <w:r>
        <w:rPr>
          <w:sz w:val="20"/>
        </w:rPr>
      </w:r>
      <w:r>
        <w:rPr>
          <w:sz w:val="20"/>
        </w:rPr>
        <w:fldChar w:fldCharType="separate"/>
      </w:r>
      <w:r w:rsidR="001A56A8">
        <w:t xml:space="preserve">Table </w:t>
      </w:r>
      <w:r w:rsidR="001A56A8">
        <w:rPr>
          <w:noProof/>
        </w:rPr>
        <w:t>2</w:t>
      </w:r>
      <w:r>
        <w:rPr>
          <w:sz w:val="20"/>
        </w:rPr>
        <w:fldChar w:fldCharType="end"/>
      </w:r>
      <w:r>
        <w:rPr>
          <w:sz w:val="20"/>
        </w:rPr>
        <w:t>.</w:t>
      </w:r>
      <w:r w:rsidR="001C105E">
        <w:rPr>
          <w:sz w:val="20"/>
        </w:rPr>
        <w:t xml:space="preserve"> For LTE victim cells, the requirement can be the same as NR victim cells with 1ms slot.</w:t>
      </w:r>
    </w:p>
    <w:p w:rsidR="00717B5D" w:rsidRPr="00F7707F" w:rsidRDefault="00717B5D" w:rsidP="00717B5D">
      <w:pPr>
        <w:pStyle w:val="a5"/>
        <w:jc w:val="center"/>
        <w:rPr>
          <w:lang w:val="en-US"/>
        </w:rPr>
      </w:pPr>
      <w:bookmarkStart w:id="12" w:name="_Ref521232672"/>
      <w:r>
        <w:t xml:space="preserve">Table </w:t>
      </w:r>
      <w:r>
        <w:fldChar w:fldCharType="begin"/>
      </w:r>
      <w:r>
        <w:instrText xml:space="preserve"> SEQ Table \* ARABIC </w:instrText>
      </w:r>
      <w:r>
        <w:fldChar w:fldCharType="separate"/>
      </w:r>
      <w:r w:rsidR="001A56A8">
        <w:rPr>
          <w:noProof/>
        </w:rPr>
        <w:t>2</w:t>
      </w:r>
      <w:r>
        <w:fldChar w:fldCharType="end"/>
      </w:r>
      <w:bookmarkEnd w:id="12"/>
      <w:r>
        <w:rPr>
          <w:lang w:val="en-US"/>
        </w:rPr>
        <w:t xml:space="preserve">. </w:t>
      </w:r>
      <w:r w:rsidRPr="0049206D">
        <w:rPr>
          <w:lang w:eastAsia="zh-CN"/>
        </w:rPr>
        <w:t xml:space="preserve">Interruption length </w:t>
      </w:r>
      <w:r>
        <w:rPr>
          <w:lang w:val="en-US" w:eastAsia="zh-CN"/>
        </w:rPr>
        <w:t xml:space="preserve">on NR serving cells </w:t>
      </w:r>
      <w:r>
        <w:t>due to BWP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276"/>
      </w:tblGrid>
      <w:tr w:rsidR="001C105E" w:rsidRPr="0049206D" w:rsidTr="00BD2B86">
        <w:trPr>
          <w:trHeight w:val="486"/>
          <w:jc w:val="center"/>
        </w:trPr>
        <w:tc>
          <w:tcPr>
            <w:tcW w:w="1276" w:type="dxa"/>
            <w:vAlign w:val="center"/>
          </w:tcPr>
          <w:p w:rsidR="001C105E" w:rsidRPr="0049206D" w:rsidRDefault="001C105E" w:rsidP="00F45F19">
            <w:pPr>
              <w:pStyle w:val="TAH"/>
              <w:spacing w:after="0"/>
            </w:pPr>
            <w:r w:rsidRPr="0049206D">
              <w:lastRenderedPageBreak/>
              <w:t>NR Slot length (ms)</w:t>
            </w:r>
          </w:p>
        </w:tc>
        <w:tc>
          <w:tcPr>
            <w:tcW w:w="1276" w:type="dxa"/>
            <w:vAlign w:val="center"/>
          </w:tcPr>
          <w:p w:rsidR="001C105E" w:rsidRPr="00F7707F" w:rsidRDefault="001C105E" w:rsidP="00F45F19">
            <w:pPr>
              <w:pStyle w:val="TAH"/>
              <w:spacing w:after="0"/>
              <w:rPr>
                <w:lang w:val="en-US"/>
              </w:rPr>
            </w:pPr>
            <w:r w:rsidRPr="0049206D">
              <w:rPr>
                <w:rFonts w:hint="eastAsia"/>
              </w:rPr>
              <w:t>Sync</w:t>
            </w:r>
          </w:p>
        </w:tc>
        <w:tc>
          <w:tcPr>
            <w:tcW w:w="1276" w:type="dxa"/>
            <w:vAlign w:val="center"/>
          </w:tcPr>
          <w:p w:rsidR="001C105E" w:rsidRPr="00F7707F" w:rsidRDefault="001C105E" w:rsidP="00F45F19">
            <w:pPr>
              <w:pStyle w:val="TAH"/>
              <w:spacing w:after="0"/>
              <w:rPr>
                <w:lang w:val="en-US"/>
              </w:rPr>
            </w:pPr>
            <w:r w:rsidRPr="0049206D">
              <w:rPr>
                <w:rFonts w:hint="eastAsia"/>
              </w:rPr>
              <w:t>Async</w:t>
            </w:r>
          </w:p>
        </w:tc>
      </w:tr>
      <w:tr w:rsidR="001C105E" w:rsidRPr="0049206D" w:rsidTr="00F45F19">
        <w:trPr>
          <w:jc w:val="center"/>
        </w:trPr>
        <w:tc>
          <w:tcPr>
            <w:tcW w:w="1276" w:type="dxa"/>
          </w:tcPr>
          <w:p w:rsidR="001C105E" w:rsidRPr="0049206D" w:rsidRDefault="001C105E" w:rsidP="00F45F19">
            <w:pPr>
              <w:pStyle w:val="TAC"/>
            </w:pPr>
            <w:r w:rsidRPr="0049206D">
              <w:t>1</w:t>
            </w:r>
          </w:p>
        </w:tc>
        <w:tc>
          <w:tcPr>
            <w:tcW w:w="1276" w:type="dxa"/>
          </w:tcPr>
          <w:p w:rsidR="001C105E" w:rsidRPr="0049206D" w:rsidRDefault="001C105E" w:rsidP="00F45F19">
            <w:pPr>
              <w:pStyle w:val="TAC"/>
              <w:rPr>
                <w:lang w:eastAsia="zh-CN"/>
              </w:rPr>
            </w:pPr>
            <w:r>
              <w:rPr>
                <w:lang w:eastAsia="zh-CN"/>
              </w:rPr>
              <w:t>1 slot</w:t>
            </w:r>
          </w:p>
        </w:tc>
        <w:tc>
          <w:tcPr>
            <w:tcW w:w="1276" w:type="dxa"/>
          </w:tcPr>
          <w:p w:rsidR="001C105E" w:rsidRPr="0049206D" w:rsidRDefault="001C105E" w:rsidP="00F45F19">
            <w:pPr>
              <w:pStyle w:val="TAC"/>
              <w:rPr>
                <w:lang w:eastAsia="zh-CN"/>
              </w:rPr>
            </w:pPr>
            <w:r>
              <w:rPr>
                <w:lang w:eastAsia="zh-CN"/>
              </w:rPr>
              <w:t>2 slots</w:t>
            </w:r>
          </w:p>
        </w:tc>
      </w:tr>
      <w:tr w:rsidR="001C105E" w:rsidRPr="0049206D" w:rsidTr="00F45F19">
        <w:trPr>
          <w:jc w:val="center"/>
        </w:trPr>
        <w:tc>
          <w:tcPr>
            <w:tcW w:w="1276" w:type="dxa"/>
          </w:tcPr>
          <w:p w:rsidR="001C105E" w:rsidRPr="0049206D" w:rsidRDefault="001C105E" w:rsidP="00F45F19">
            <w:pPr>
              <w:pStyle w:val="TAC"/>
            </w:pPr>
            <w:r w:rsidRPr="0049206D">
              <w:t>0.5</w:t>
            </w:r>
          </w:p>
        </w:tc>
        <w:tc>
          <w:tcPr>
            <w:tcW w:w="1276" w:type="dxa"/>
          </w:tcPr>
          <w:p w:rsidR="001C105E" w:rsidRPr="0049206D" w:rsidRDefault="001C105E" w:rsidP="00F45F19">
            <w:pPr>
              <w:pStyle w:val="TAC"/>
              <w:rPr>
                <w:lang w:eastAsia="zh-CN"/>
              </w:rPr>
            </w:pPr>
            <w:r>
              <w:rPr>
                <w:lang w:eastAsia="zh-CN"/>
              </w:rPr>
              <w:t>1 slot</w:t>
            </w:r>
          </w:p>
        </w:tc>
        <w:tc>
          <w:tcPr>
            <w:tcW w:w="1276" w:type="dxa"/>
          </w:tcPr>
          <w:p w:rsidR="001C105E" w:rsidRPr="0049206D" w:rsidRDefault="001C105E" w:rsidP="00F45F19">
            <w:pPr>
              <w:pStyle w:val="TAC"/>
              <w:rPr>
                <w:lang w:eastAsia="zh-CN"/>
              </w:rPr>
            </w:pPr>
            <w:r>
              <w:rPr>
                <w:lang w:eastAsia="zh-CN"/>
              </w:rPr>
              <w:t>2 slots</w:t>
            </w:r>
          </w:p>
        </w:tc>
      </w:tr>
      <w:tr w:rsidR="001C105E" w:rsidRPr="0049206D" w:rsidTr="00F45F19">
        <w:trPr>
          <w:jc w:val="center"/>
        </w:trPr>
        <w:tc>
          <w:tcPr>
            <w:tcW w:w="1276" w:type="dxa"/>
          </w:tcPr>
          <w:p w:rsidR="001C105E" w:rsidRPr="0049206D" w:rsidRDefault="001C105E" w:rsidP="00F45F19">
            <w:pPr>
              <w:pStyle w:val="TAC"/>
            </w:pPr>
            <w:r w:rsidRPr="0049206D">
              <w:t>0.25</w:t>
            </w:r>
          </w:p>
        </w:tc>
        <w:tc>
          <w:tcPr>
            <w:tcW w:w="2552" w:type="dxa"/>
            <w:gridSpan w:val="2"/>
          </w:tcPr>
          <w:p w:rsidR="001C105E" w:rsidRPr="0049206D" w:rsidRDefault="001C105E" w:rsidP="00F45F19">
            <w:pPr>
              <w:pStyle w:val="TAC"/>
              <w:rPr>
                <w:lang w:eastAsia="zh-CN"/>
              </w:rPr>
            </w:pPr>
            <w:r>
              <w:rPr>
                <w:lang w:eastAsia="zh-CN"/>
              </w:rPr>
              <w:t xml:space="preserve">3 slots </w:t>
            </w:r>
          </w:p>
        </w:tc>
      </w:tr>
      <w:tr w:rsidR="001C105E" w:rsidRPr="0049206D" w:rsidTr="00F45F19">
        <w:trPr>
          <w:jc w:val="center"/>
        </w:trPr>
        <w:tc>
          <w:tcPr>
            <w:tcW w:w="1276" w:type="dxa"/>
          </w:tcPr>
          <w:p w:rsidR="001C105E" w:rsidRPr="0049206D" w:rsidRDefault="001C105E" w:rsidP="00F45F19">
            <w:pPr>
              <w:pStyle w:val="TAC"/>
            </w:pPr>
            <w:r w:rsidRPr="0049206D">
              <w:t>0.125</w:t>
            </w:r>
          </w:p>
        </w:tc>
        <w:tc>
          <w:tcPr>
            <w:tcW w:w="2552" w:type="dxa"/>
            <w:gridSpan w:val="2"/>
          </w:tcPr>
          <w:p w:rsidR="001C105E" w:rsidRPr="0049206D" w:rsidRDefault="001C105E" w:rsidP="00F45F19">
            <w:pPr>
              <w:pStyle w:val="TAC"/>
              <w:rPr>
                <w:lang w:val="en-US" w:eastAsia="zh-CN"/>
              </w:rPr>
            </w:pPr>
            <w:r>
              <w:rPr>
                <w:lang w:eastAsia="zh-CN"/>
              </w:rPr>
              <w:t>5 slots</w:t>
            </w:r>
          </w:p>
        </w:tc>
      </w:tr>
    </w:tbl>
    <w:p w:rsidR="00717B5D" w:rsidRDefault="00717B5D" w:rsidP="00717B5D">
      <w:pPr>
        <w:jc w:val="both"/>
        <w:rPr>
          <w:sz w:val="20"/>
        </w:rPr>
      </w:pPr>
    </w:p>
    <w:p w:rsidR="001C105E" w:rsidRDefault="001C105E" w:rsidP="001C105E">
      <w:pPr>
        <w:pStyle w:val="a5"/>
        <w:rPr>
          <w:lang w:val="en-US"/>
        </w:rPr>
      </w:pPr>
      <w:bookmarkStart w:id="13" w:name="_Ref521233219"/>
      <w:r>
        <w:t xml:space="preserve">Proposal </w:t>
      </w:r>
      <w:r w:rsidR="008B2276">
        <w:fldChar w:fldCharType="begin"/>
      </w:r>
      <w:r w:rsidR="008B2276">
        <w:instrText xml:space="preserve"> SEQ Proposal \* ARABIC </w:instrText>
      </w:r>
      <w:r w:rsidR="008B2276">
        <w:fldChar w:fldCharType="separate"/>
      </w:r>
      <w:r w:rsidR="001A56A8">
        <w:rPr>
          <w:noProof/>
        </w:rPr>
        <w:t>2</w:t>
      </w:r>
      <w:r w:rsidR="008B2276">
        <w:rPr>
          <w:noProof/>
        </w:rPr>
        <w:fldChar w:fldCharType="end"/>
      </w:r>
      <w:r>
        <w:rPr>
          <w:lang w:val="en-US"/>
        </w:rPr>
        <w:t>: Same interruption requirement is applied to both</w:t>
      </w:r>
      <w:r>
        <w:t xml:space="preserve"> inter-band and intra-band </w:t>
      </w:r>
      <w:r>
        <w:rPr>
          <w:lang w:val="en-US"/>
        </w:rPr>
        <w:t>cases.</w:t>
      </w:r>
      <w:bookmarkEnd w:id="13"/>
    </w:p>
    <w:p w:rsidR="001C105E" w:rsidRDefault="001C105E" w:rsidP="001C105E">
      <w:pPr>
        <w:pStyle w:val="a5"/>
        <w:rPr>
          <w:lang w:val="en-US"/>
        </w:rPr>
      </w:pPr>
      <w:bookmarkStart w:id="14" w:name="_Ref521233221"/>
      <w:r>
        <w:t xml:space="preserve">Proposal </w:t>
      </w:r>
      <w:r w:rsidR="008B2276">
        <w:fldChar w:fldCharType="begin"/>
      </w:r>
      <w:r w:rsidR="008B2276">
        <w:instrText xml:space="preserve"> SEQ Proposal \* ARABIC </w:instrText>
      </w:r>
      <w:r w:rsidR="008B2276">
        <w:fldChar w:fldCharType="separate"/>
      </w:r>
      <w:r w:rsidR="001A56A8">
        <w:rPr>
          <w:noProof/>
        </w:rPr>
        <w:t>3</w:t>
      </w:r>
      <w:r w:rsidR="008B2276">
        <w:rPr>
          <w:noProof/>
        </w:rPr>
        <w:fldChar w:fldCharType="end"/>
      </w:r>
      <w:r>
        <w:rPr>
          <w:lang w:val="en-US"/>
        </w:rPr>
        <w:t>: Consider the follow</w:t>
      </w:r>
      <w:r w:rsidR="001A56A8">
        <w:rPr>
          <w:lang w:val="en-US"/>
        </w:rPr>
        <w:t>ing</w:t>
      </w:r>
      <w:r>
        <w:rPr>
          <w:lang w:val="en-US"/>
        </w:rPr>
        <w:t xml:space="preserve"> table in the interruption requirement due to BWP switching</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276"/>
      </w:tblGrid>
      <w:tr w:rsidR="001C105E" w:rsidRPr="0049206D" w:rsidTr="00F45F19">
        <w:trPr>
          <w:trHeight w:val="486"/>
          <w:jc w:val="center"/>
        </w:trPr>
        <w:tc>
          <w:tcPr>
            <w:tcW w:w="1276" w:type="dxa"/>
            <w:vAlign w:val="center"/>
          </w:tcPr>
          <w:p w:rsidR="001C105E" w:rsidRPr="0049206D" w:rsidRDefault="001C105E" w:rsidP="00F45F19">
            <w:pPr>
              <w:pStyle w:val="TAH"/>
              <w:spacing w:after="0"/>
            </w:pPr>
            <w:r w:rsidRPr="0049206D">
              <w:t>NR Slot length (ms)</w:t>
            </w:r>
          </w:p>
        </w:tc>
        <w:tc>
          <w:tcPr>
            <w:tcW w:w="1276" w:type="dxa"/>
            <w:vAlign w:val="center"/>
          </w:tcPr>
          <w:p w:rsidR="001C105E" w:rsidRPr="00F7707F" w:rsidRDefault="001C105E" w:rsidP="00F45F19">
            <w:pPr>
              <w:pStyle w:val="TAH"/>
              <w:spacing w:after="0"/>
              <w:rPr>
                <w:lang w:val="en-US"/>
              </w:rPr>
            </w:pPr>
            <w:r w:rsidRPr="0049206D">
              <w:rPr>
                <w:rFonts w:hint="eastAsia"/>
              </w:rPr>
              <w:t>Sync</w:t>
            </w:r>
          </w:p>
        </w:tc>
        <w:tc>
          <w:tcPr>
            <w:tcW w:w="1276" w:type="dxa"/>
            <w:vAlign w:val="center"/>
          </w:tcPr>
          <w:p w:rsidR="001C105E" w:rsidRPr="00F7707F" w:rsidRDefault="001C105E" w:rsidP="00F45F19">
            <w:pPr>
              <w:pStyle w:val="TAH"/>
              <w:spacing w:after="0"/>
              <w:rPr>
                <w:lang w:val="en-US"/>
              </w:rPr>
            </w:pPr>
            <w:r w:rsidRPr="0049206D">
              <w:rPr>
                <w:rFonts w:hint="eastAsia"/>
              </w:rPr>
              <w:t>Async</w:t>
            </w:r>
          </w:p>
        </w:tc>
      </w:tr>
      <w:tr w:rsidR="001C105E" w:rsidRPr="0049206D" w:rsidTr="00F45F19">
        <w:trPr>
          <w:jc w:val="center"/>
        </w:trPr>
        <w:tc>
          <w:tcPr>
            <w:tcW w:w="1276" w:type="dxa"/>
          </w:tcPr>
          <w:p w:rsidR="001C105E" w:rsidRPr="0049206D" w:rsidRDefault="001C105E" w:rsidP="00F45F19">
            <w:pPr>
              <w:pStyle w:val="TAC"/>
            </w:pPr>
            <w:r w:rsidRPr="0049206D">
              <w:t>1</w:t>
            </w:r>
          </w:p>
        </w:tc>
        <w:tc>
          <w:tcPr>
            <w:tcW w:w="1276" w:type="dxa"/>
          </w:tcPr>
          <w:p w:rsidR="001C105E" w:rsidRPr="0049206D" w:rsidRDefault="001C105E" w:rsidP="00F45F19">
            <w:pPr>
              <w:pStyle w:val="TAC"/>
              <w:rPr>
                <w:lang w:eastAsia="zh-CN"/>
              </w:rPr>
            </w:pPr>
            <w:r>
              <w:rPr>
                <w:lang w:eastAsia="zh-CN"/>
              </w:rPr>
              <w:t>1 slot</w:t>
            </w:r>
          </w:p>
        </w:tc>
        <w:tc>
          <w:tcPr>
            <w:tcW w:w="1276" w:type="dxa"/>
          </w:tcPr>
          <w:p w:rsidR="001C105E" w:rsidRPr="0049206D" w:rsidRDefault="001C105E" w:rsidP="00F45F19">
            <w:pPr>
              <w:pStyle w:val="TAC"/>
              <w:rPr>
                <w:lang w:eastAsia="zh-CN"/>
              </w:rPr>
            </w:pPr>
            <w:r>
              <w:rPr>
                <w:lang w:eastAsia="zh-CN"/>
              </w:rPr>
              <w:t>2 slots</w:t>
            </w:r>
          </w:p>
        </w:tc>
      </w:tr>
      <w:tr w:rsidR="001C105E" w:rsidRPr="0049206D" w:rsidTr="00F45F19">
        <w:trPr>
          <w:jc w:val="center"/>
        </w:trPr>
        <w:tc>
          <w:tcPr>
            <w:tcW w:w="1276" w:type="dxa"/>
          </w:tcPr>
          <w:p w:rsidR="001C105E" w:rsidRPr="0049206D" w:rsidRDefault="001C105E" w:rsidP="00F45F19">
            <w:pPr>
              <w:pStyle w:val="TAC"/>
            </w:pPr>
            <w:r w:rsidRPr="0049206D">
              <w:t>0.5</w:t>
            </w:r>
          </w:p>
        </w:tc>
        <w:tc>
          <w:tcPr>
            <w:tcW w:w="1276" w:type="dxa"/>
          </w:tcPr>
          <w:p w:rsidR="001C105E" w:rsidRPr="0049206D" w:rsidRDefault="001C105E" w:rsidP="00F45F19">
            <w:pPr>
              <w:pStyle w:val="TAC"/>
              <w:rPr>
                <w:lang w:eastAsia="zh-CN"/>
              </w:rPr>
            </w:pPr>
            <w:r>
              <w:rPr>
                <w:lang w:eastAsia="zh-CN"/>
              </w:rPr>
              <w:t>1 slot</w:t>
            </w:r>
          </w:p>
        </w:tc>
        <w:tc>
          <w:tcPr>
            <w:tcW w:w="1276" w:type="dxa"/>
          </w:tcPr>
          <w:p w:rsidR="001C105E" w:rsidRPr="0049206D" w:rsidRDefault="001C105E" w:rsidP="00F45F19">
            <w:pPr>
              <w:pStyle w:val="TAC"/>
              <w:rPr>
                <w:lang w:eastAsia="zh-CN"/>
              </w:rPr>
            </w:pPr>
            <w:r>
              <w:rPr>
                <w:lang w:eastAsia="zh-CN"/>
              </w:rPr>
              <w:t>2 slots</w:t>
            </w:r>
          </w:p>
        </w:tc>
      </w:tr>
      <w:tr w:rsidR="001C105E" w:rsidRPr="0049206D" w:rsidTr="00F45F19">
        <w:trPr>
          <w:jc w:val="center"/>
        </w:trPr>
        <w:tc>
          <w:tcPr>
            <w:tcW w:w="1276" w:type="dxa"/>
          </w:tcPr>
          <w:p w:rsidR="001C105E" w:rsidRPr="0049206D" w:rsidRDefault="001C105E" w:rsidP="00F45F19">
            <w:pPr>
              <w:pStyle w:val="TAC"/>
            </w:pPr>
            <w:r w:rsidRPr="0049206D">
              <w:t>0.25</w:t>
            </w:r>
          </w:p>
        </w:tc>
        <w:tc>
          <w:tcPr>
            <w:tcW w:w="2552" w:type="dxa"/>
            <w:gridSpan w:val="2"/>
          </w:tcPr>
          <w:p w:rsidR="001C105E" w:rsidRPr="0049206D" w:rsidRDefault="001C105E" w:rsidP="00F45F19">
            <w:pPr>
              <w:pStyle w:val="TAC"/>
              <w:rPr>
                <w:lang w:eastAsia="zh-CN"/>
              </w:rPr>
            </w:pPr>
            <w:r>
              <w:rPr>
                <w:lang w:eastAsia="zh-CN"/>
              </w:rPr>
              <w:t xml:space="preserve">3 slots </w:t>
            </w:r>
          </w:p>
        </w:tc>
      </w:tr>
      <w:tr w:rsidR="001C105E" w:rsidRPr="0049206D" w:rsidTr="00F45F19">
        <w:trPr>
          <w:jc w:val="center"/>
        </w:trPr>
        <w:tc>
          <w:tcPr>
            <w:tcW w:w="1276" w:type="dxa"/>
          </w:tcPr>
          <w:p w:rsidR="001C105E" w:rsidRPr="0049206D" w:rsidRDefault="001C105E" w:rsidP="00F45F19">
            <w:pPr>
              <w:pStyle w:val="TAC"/>
            </w:pPr>
            <w:r w:rsidRPr="0049206D">
              <w:t>0.125</w:t>
            </w:r>
          </w:p>
        </w:tc>
        <w:tc>
          <w:tcPr>
            <w:tcW w:w="2552" w:type="dxa"/>
            <w:gridSpan w:val="2"/>
          </w:tcPr>
          <w:p w:rsidR="001C105E" w:rsidRPr="0049206D" w:rsidRDefault="001C105E" w:rsidP="00F45F19">
            <w:pPr>
              <w:pStyle w:val="TAC"/>
              <w:rPr>
                <w:lang w:val="en-US" w:eastAsia="zh-CN"/>
              </w:rPr>
            </w:pPr>
            <w:r>
              <w:rPr>
                <w:lang w:eastAsia="zh-CN"/>
              </w:rPr>
              <w:t>5 slots</w:t>
            </w:r>
          </w:p>
        </w:tc>
      </w:tr>
    </w:tbl>
    <w:p w:rsidR="00085372" w:rsidRDefault="00AC359E"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1A56A8" w:rsidRPr="001A56A8" w:rsidRDefault="00085372" w:rsidP="001A56A8">
      <w:pPr>
        <w:jc w:val="both"/>
        <w:rPr>
          <w:rFonts w:ascii="Times New Roman" w:eastAsia="SimSun" w:hAnsi="Times New Roman" w:cs="Times New Roman"/>
          <w:b/>
          <w:sz w:val="20"/>
          <w:szCs w:val="20"/>
          <w:lang w:eastAsia="x-none"/>
        </w:rPr>
      </w:pPr>
      <w:r w:rsidRPr="007B7C25">
        <w:rPr>
          <w:rFonts w:ascii="Calibri" w:eastAsia="新細明體" w:hAnsi="Calibri" w:cs="Calibri"/>
          <w:color w:val="0D0D0D"/>
          <w:sz w:val="20"/>
          <w:lang w:eastAsia="zh-TW"/>
        </w:rPr>
        <w:t>In the contribution,</w:t>
      </w:r>
      <w:bookmarkEnd w:id="0"/>
      <w:bookmarkEnd w:id="1"/>
      <w:bookmarkEnd w:id="3"/>
      <w:bookmarkEnd w:id="4"/>
      <w:bookmarkEnd w:id="5"/>
      <w:bookmarkEnd w:id="6"/>
      <w:r w:rsidR="00CB5FB6" w:rsidRPr="007B7C25">
        <w:rPr>
          <w:rFonts w:ascii="Calibri" w:eastAsia="新細明體" w:hAnsi="Calibri" w:cs="Calibri"/>
          <w:color w:val="0D0D0D"/>
          <w:sz w:val="20"/>
          <w:lang w:eastAsia="zh-TW"/>
        </w:rPr>
        <w:t xml:space="preserve"> </w:t>
      </w:r>
      <w:r w:rsidR="00D339E7" w:rsidRPr="007B7C25">
        <w:rPr>
          <w:rFonts w:ascii="Calibri" w:eastAsia="新細明體" w:hAnsi="Calibri" w:cs="Calibri"/>
          <w:color w:val="0D0D0D"/>
          <w:sz w:val="20"/>
          <w:lang w:eastAsia="zh-TW"/>
        </w:rPr>
        <w:t>we discuss the Interruption requirement for BWP switching. We have the following observations and proposals.</w:t>
      </w:r>
      <w:r w:rsidR="001C105E" w:rsidRPr="001C105E">
        <w:rPr>
          <w:rFonts w:ascii="Times New Roman" w:eastAsia="SimSun" w:hAnsi="Times New Roman" w:cs="Times New Roman"/>
          <w:b/>
          <w:sz w:val="20"/>
          <w:szCs w:val="20"/>
          <w:lang w:eastAsia="x-none"/>
        </w:rPr>
        <w:fldChar w:fldCharType="begin"/>
      </w:r>
      <w:r w:rsidR="001C105E" w:rsidRPr="001C105E">
        <w:rPr>
          <w:rFonts w:ascii="Times New Roman" w:eastAsia="SimSun" w:hAnsi="Times New Roman" w:cs="Times New Roman"/>
          <w:b/>
          <w:sz w:val="20"/>
          <w:szCs w:val="20"/>
          <w:lang w:eastAsia="x-none"/>
        </w:rPr>
        <w:instrText xml:space="preserve"> REF _Ref521233212 \h </w:instrText>
      </w:r>
      <w:r w:rsidR="001C105E">
        <w:rPr>
          <w:rFonts w:ascii="Times New Roman" w:eastAsia="SimSun" w:hAnsi="Times New Roman" w:cs="Times New Roman"/>
          <w:b/>
          <w:sz w:val="20"/>
          <w:szCs w:val="20"/>
          <w:lang w:eastAsia="x-none"/>
        </w:rPr>
        <w:instrText xml:space="preserve"> \* MERGEFORMAT </w:instrText>
      </w:r>
      <w:r w:rsidR="001C105E" w:rsidRPr="001C105E">
        <w:rPr>
          <w:rFonts w:ascii="Times New Roman" w:eastAsia="SimSun" w:hAnsi="Times New Roman" w:cs="Times New Roman"/>
          <w:b/>
          <w:sz w:val="20"/>
          <w:szCs w:val="20"/>
          <w:lang w:eastAsia="x-none"/>
        </w:rPr>
      </w:r>
      <w:r w:rsidR="001C105E" w:rsidRPr="001C105E">
        <w:rPr>
          <w:rFonts w:ascii="Times New Roman" w:eastAsia="SimSun" w:hAnsi="Times New Roman" w:cs="Times New Roman"/>
          <w:b/>
          <w:sz w:val="20"/>
          <w:szCs w:val="20"/>
          <w:lang w:eastAsia="x-none"/>
        </w:rPr>
        <w:fldChar w:fldCharType="separate"/>
      </w:r>
    </w:p>
    <w:p w:rsidR="001C105E" w:rsidRPr="001C105E" w:rsidRDefault="001A56A8" w:rsidP="00AC359E">
      <w:pPr>
        <w:jc w:val="both"/>
        <w:rPr>
          <w:rFonts w:ascii="Times New Roman" w:eastAsia="SimSun" w:hAnsi="Times New Roman" w:cs="Times New Roman"/>
          <w:b/>
          <w:sz w:val="20"/>
          <w:szCs w:val="20"/>
          <w:lang w:eastAsia="x-none"/>
        </w:rPr>
      </w:pPr>
      <w:r w:rsidRPr="001A56A8">
        <w:rPr>
          <w:rFonts w:ascii="Times New Roman" w:eastAsia="SimSun" w:hAnsi="Times New Roman" w:cs="Times New Roman"/>
          <w:b/>
          <w:sz w:val="20"/>
          <w:szCs w:val="20"/>
          <w:lang w:eastAsia="x-none"/>
        </w:rPr>
        <w:t>Observation 1: UE can pre-adjust its AGC setting to an expected level during BWP switching, because the serving cell is not changing and UE knows exactly the numbers of PRBs in the previous BWP and in new BWP. Additional STMC duration for AGC is not needed.</w:t>
      </w:r>
      <w:r w:rsidR="001C105E" w:rsidRPr="001C105E">
        <w:rPr>
          <w:rFonts w:ascii="Times New Roman" w:eastAsia="SimSun" w:hAnsi="Times New Roman" w:cs="Times New Roman"/>
          <w:b/>
          <w:sz w:val="20"/>
          <w:szCs w:val="20"/>
          <w:lang w:eastAsia="x-none"/>
        </w:rPr>
        <w:fldChar w:fldCharType="end"/>
      </w:r>
    </w:p>
    <w:p w:rsidR="001C105E" w:rsidRPr="001C105E" w:rsidRDefault="001C105E" w:rsidP="00AC35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_Ref521233242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r w:rsidR="001A56A8" w:rsidRPr="001A56A8">
        <w:rPr>
          <w:rFonts w:ascii="Times New Roman" w:eastAsia="SimSun" w:hAnsi="Times New Roman" w:cs="Times New Roman"/>
          <w:b/>
          <w:sz w:val="20"/>
          <w:szCs w:val="20"/>
          <w:lang w:eastAsia="x-none"/>
        </w:rPr>
        <w:t>Observation 2: BWP switching can be trigger anytime, regardless of the SSB timing offset and duration</w:t>
      </w:r>
      <w:r w:rsidRPr="001C105E">
        <w:rPr>
          <w:rFonts w:ascii="Times New Roman" w:eastAsia="SimSun" w:hAnsi="Times New Roman" w:cs="Times New Roman"/>
          <w:b/>
          <w:sz w:val="20"/>
          <w:szCs w:val="20"/>
          <w:lang w:eastAsia="x-none"/>
        </w:rPr>
        <w:fldChar w:fldCharType="end"/>
      </w:r>
    </w:p>
    <w:p w:rsidR="00BD28A8" w:rsidRDefault="00BD28A8" w:rsidP="00AC359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_Ref513559528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BD28A8">
        <w:rPr>
          <w:rFonts w:ascii="Times New Roman" w:eastAsia="SimSun" w:hAnsi="Times New Roman" w:cs="Times New Roman"/>
          <w:b/>
          <w:sz w:val="20"/>
          <w:szCs w:val="20"/>
          <w:lang w:eastAsia="x-none"/>
        </w:rPr>
        <w:t>Proposal 1: BWP reconfiguration scenarios 4 will cause interruption to other serving cells in all FRs.</w:t>
      </w:r>
      <w:r>
        <w:rPr>
          <w:rFonts w:ascii="Times New Roman" w:eastAsia="SimSun" w:hAnsi="Times New Roman" w:cs="Times New Roman"/>
          <w:b/>
          <w:sz w:val="20"/>
          <w:szCs w:val="20"/>
          <w:lang w:eastAsia="x-none"/>
        </w:rPr>
        <w:fldChar w:fldCharType="end"/>
      </w:r>
    </w:p>
    <w:p w:rsidR="001C105E" w:rsidRPr="001C105E" w:rsidRDefault="001C105E" w:rsidP="00AC35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_Ref521233219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r w:rsidR="005F0E63" w:rsidRPr="005F0E63">
        <w:rPr>
          <w:rFonts w:ascii="Times New Roman" w:eastAsia="SimSun" w:hAnsi="Times New Roman" w:cs="Times New Roman"/>
          <w:b/>
          <w:sz w:val="20"/>
          <w:szCs w:val="20"/>
          <w:lang w:eastAsia="x-none"/>
        </w:rPr>
        <w:t>Proposal 2: Same interruption requirement is applied to both inter-band and intra-band cases.</w:t>
      </w:r>
      <w:r w:rsidRPr="001C105E">
        <w:rPr>
          <w:rFonts w:ascii="Times New Roman" w:eastAsia="SimSun" w:hAnsi="Times New Roman" w:cs="Times New Roman"/>
          <w:b/>
          <w:sz w:val="20"/>
          <w:szCs w:val="20"/>
          <w:lang w:eastAsia="x-none"/>
        </w:rPr>
        <w:fldChar w:fldCharType="end"/>
      </w:r>
    </w:p>
    <w:p w:rsidR="001C105E" w:rsidRDefault="001C105E" w:rsidP="00AC35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_Ref521233221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r w:rsidR="005F0E63" w:rsidRPr="005F0E63">
        <w:rPr>
          <w:rFonts w:ascii="Times New Roman" w:eastAsia="SimSun" w:hAnsi="Times New Roman" w:cs="Times New Roman"/>
          <w:b/>
          <w:sz w:val="20"/>
          <w:szCs w:val="20"/>
          <w:lang w:eastAsia="x-none"/>
        </w:rPr>
        <w:t>Proposal 3: Consider the following table in the interruption requirement due to BWP switching</w:t>
      </w:r>
      <w:r w:rsidRPr="001C105E">
        <w:rPr>
          <w:rFonts w:ascii="Times New Roman" w:eastAsia="SimSun" w:hAnsi="Times New Roman" w:cs="Times New Roman"/>
          <w:b/>
          <w:sz w:val="20"/>
          <w:szCs w:val="20"/>
          <w:lang w:eastAsia="x-none"/>
        </w:rPr>
        <w:fldChar w:fldCharType="end"/>
      </w:r>
      <w:r>
        <w:rPr>
          <w:rFonts w:ascii="Times New Roman" w:eastAsia="SimSun" w:hAnsi="Times New Roman" w:cs="Times New Roman"/>
          <w:b/>
          <w:sz w:val="20"/>
          <w:szCs w:val="20"/>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276"/>
      </w:tblGrid>
      <w:tr w:rsidR="001C105E" w:rsidRPr="0049206D" w:rsidTr="00F45F19">
        <w:trPr>
          <w:trHeight w:val="486"/>
          <w:jc w:val="center"/>
        </w:trPr>
        <w:tc>
          <w:tcPr>
            <w:tcW w:w="1276" w:type="dxa"/>
            <w:vAlign w:val="center"/>
          </w:tcPr>
          <w:p w:rsidR="001C105E" w:rsidRPr="0049206D" w:rsidRDefault="001C105E" w:rsidP="00F45F19">
            <w:pPr>
              <w:pStyle w:val="TAH"/>
              <w:spacing w:after="0"/>
            </w:pPr>
            <w:r w:rsidRPr="0049206D">
              <w:t>NR Slot length (ms)</w:t>
            </w:r>
          </w:p>
        </w:tc>
        <w:tc>
          <w:tcPr>
            <w:tcW w:w="1276" w:type="dxa"/>
            <w:vAlign w:val="center"/>
          </w:tcPr>
          <w:p w:rsidR="001C105E" w:rsidRPr="00F7707F" w:rsidRDefault="001C105E" w:rsidP="00F45F19">
            <w:pPr>
              <w:pStyle w:val="TAH"/>
              <w:spacing w:after="0"/>
              <w:rPr>
                <w:lang w:val="en-US"/>
              </w:rPr>
            </w:pPr>
            <w:r w:rsidRPr="0049206D">
              <w:rPr>
                <w:rFonts w:hint="eastAsia"/>
              </w:rPr>
              <w:t>Sync</w:t>
            </w:r>
          </w:p>
        </w:tc>
        <w:tc>
          <w:tcPr>
            <w:tcW w:w="1276" w:type="dxa"/>
            <w:vAlign w:val="center"/>
          </w:tcPr>
          <w:p w:rsidR="001C105E" w:rsidRPr="00F7707F" w:rsidRDefault="001C105E" w:rsidP="00F45F19">
            <w:pPr>
              <w:pStyle w:val="TAH"/>
              <w:spacing w:after="0"/>
              <w:rPr>
                <w:lang w:val="en-US"/>
              </w:rPr>
            </w:pPr>
            <w:r w:rsidRPr="0049206D">
              <w:rPr>
                <w:rFonts w:hint="eastAsia"/>
              </w:rPr>
              <w:t>Async</w:t>
            </w:r>
          </w:p>
        </w:tc>
      </w:tr>
      <w:tr w:rsidR="001C105E" w:rsidRPr="0049206D" w:rsidTr="00F45F19">
        <w:trPr>
          <w:jc w:val="center"/>
        </w:trPr>
        <w:tc>
          <w:tcPr>
            <w:tcW w:w="1276" w:type="dxa"/>
          </w:tcPr>
          <w:p w:rsidR="001C105E" w:rsidRPr="0049206D" w:rsidRDefault="001C105E" w:rsidP="00F45F19">
            <w:pPr>
              <w:pStyle w:val="TAC"/>
            </w:pPr>
            <w:r w:rsidRPr="0049206D">
              <w:t>1</w:t>
            </w:r>
          </w:p>
        </w:tc>
        <w:tc>
          <w:tcPr>
            <w:tcW w:w="1276" w:type="dxa"/>
          </w:tcPr>
          <w:p w:rsidR="001C105E" w:rsidRPr="0049206D" w:rsidRDefault="001C105E" w:rsidP="00F45F19">
            <w:pPr>
              <w:pStyle w:val="TAC"/>
              <w:rPr>
                <w:lang w:eastAsia="zh-CN"/>
              </w:rPr>
            </w:pPr>
            <w:r>
              <w:rPr>
                <w:lang w:eastAsia="zh-CN"/>
              </w:rPr>
              <w:t>1 slot</w:t>
            </w:r>
          </w:p>
        </w:tc>
        <w:tc>
          <w:tcPr>
            <w:tcW w:w="1276" w:type="dxa"/>
          </w:tcPr>
          <w:p w:rsidR="001C105E" w:rsidRPr="0049206D" w:rsidRDefault="001C105E" w:rsidP="00F45F19">
            <w:pPr>
              <w:pStyle w:val="TAC"/>
              <w:rPr>
                <w:lang w:eastAsia="zh-CN"/>
              </w:rPr>
            </w:pPr>
            <w:r>
              <w:rPr>
                <w:lang w:eastAsia="zh-CN"/>
              </w:rPr>
              <w:t>2 slots</w:t>
            </w:r>
          </w:p>
        </w:tc>
      </w:tr>
      <w:tr w:rsidR="001C105E" w:rsidRPr="0049206D" w:rsidTr="00F45F19">
        <w:trPr>
          <w:jc w:val="center"/>
        </w:trPr>
        <w:tc>
          <w:tcPr>
            <w:tcW w:w="1276" w:type="dxa"/>
          </w:tcPr>
          <w:p w:rsidR="001C105E" w:rsidRPr="0049206D" w:rsidRDefault="001C105E" w:rsidP="00F45F19">
            <w:pPr>
              <w:pStyle w:val="TAC"/>
            </w:pPr>
            <w:r w:rsidRPr="0049206D">
              <w:t>0.5</w:t>
            </w:r>
          </w:p>
        </w:tc>
        <w:tc>
          <w:tcPr>
            <w:tcW w:w="1276" w:type="dxa"/>
          </w:tcPr>
          <w:p w:rsidR="001C105E" w:rsidRPr="0049206D" w:rsidRDefault="001C105E" w:rsidP="00F45F19">
            <w:pPr>
              <w:pStyle w:val="TAC"/>
              <w:rPr>
                <w:lang w:eastAsia="zh-CN"/>
              </w:rPr>
            </w:pPr>
            <w:r>
              <w:rPr>
                <w:lang w:eastAsia="zh-CN"/>
              </w:rPr>
              <w:t>1 slot</w:t>
            </w:r>
          </w:p>
        </w:tc>
        <w:tc>
          <w:tcPr>
            <w:tcW w:w="1276" w:type="dxa"/>
          </w:tcPr>
          <w:p w:rsidR="001C105E" w:rsidRPr="0049206D" w:rsidRDefault="001C105E" w:rsidP="00F45F19">
            <w:pPr>
              <w:pStyle w:val="TAC"/>
              <w:rPr>
                <w:lang w:eastAsia="zh-CN"/>
              </w:rPr>
            </w:pPr>
            <w:r>
              <w:rPr>
                <w:lang w:eastAsia="zh-CN"/>
              </w:rPr>
              <w:t>2 slots</w:t>
            </w:r>
          </w:p>
        </w:tc>
      </w:tr>
      <w:tr w:rsidR="001C105E" w:rsidRPr="0049206D" w:rsidTr="00F45F19">
        <w:trPr>
          <w:jc w:val="center"/>
        </w:trPr>
        <w:tc>
          <w:tcPr>
            <w:tcW w:w="1276" w:type="dxa"/>
          </w:tcPr>
          <w:p w:rsidR="001C105E" w:rsidRPr="0049206D" w:rsidRDefault="001C105E" w:rsidP="00F45F19">
            <w:pPr>
              <w:pStyle w:val="TAC"/>
            </w:pPr>
            <w:r w:rsidRPr="0049206D">
              <w:t>0.25</w:t>
            </w:r>
          </w:p>
        </w:tc>
        <w:tc>
          <w:tcPr>
            <w:tcW w:w="2552" w:type="dxa"/>
            <w:gridSpan w:val="2"/>
          </w:tcPr>
          <w:p w:rsidR="001C105E" w:rsidRPr="0049206D" w:rsidRDefault="001C105E" w:rsidP="00F45F19">
            <w:pPr>
              <w:pStyle w:val="TAC"/>
              <w:rPr>
                <w:lang w:eastAsia="zh-CN"/>
              </w:rPr>
            </w:pPr>
            <w:r>
              <w:rPr>
                <w:lang w:eastAsia="zh-CN"/>
              </w:rPr>
              <w:t xml:space="preserve">3 slots </w:t>
            </w:r>
          </w:p>
        </w:tc>
      </w:tr>
      <w:tr w:rsidR="001C105E" w:rsidRPr="0049206D" w:rsidTr="00F45F19">
        <w:trPr>
          <w:jc w:val="center"/>
        </w:trPr>
        <w:tc>
          <w:tcPr>
            <w:tcW w:w="1276" w:type="dxa"/>
          </w:tcPr>
          <w:p w:rsidR="001C105E" w:rsidRPr="0049206D" w:rsidRDefault="001C105E" w:rsidP="00F45F19">
            <w:pPr>
              <w:pStyle w:val="TAC"/>
            </w:pPr>
            <w:r w:rsidRPr="0049206D">
              <w:t>0.125</w:t>
            </w:r>
          </w:p>
        </w:tc>
        <w:tc>
          <w:tcPr>
            <w:tcW w:w="2552" w:type="dxa"/>
            <w:gridSpan w:val="2"/>
          </w:tcPr>
          <w:p w:rsidR="001C105E" w:rsidRPr="0049206D" w:rsidRDefault="001C105E" w:rsidP="00F45F19">
            <w:pPr>
              <w:pStyle w:val="TAC"/>
              <w:rPr>
                <w:lang w:val="en-US" w:eastAsia="zh-CN"/>
              </w:rPr>
            </w:pPr>
            <w:r>
              <w:rPr>
                <w:lang w:eastAsia="zh-CN"/>
              </w:rPr>
              <w:t>5 slots</w:t>
            </w:r>
          </w:p>
        </w:tc>
      </w:tr>
    </w:tbl>
    <w:p w:rsidR="001C105E" w:rsidRPr="001C105E" w:rsidRDefault="001C105E" w:rsidP="00AC359E">
      <w:pPr>
        <w:jc w:val="both"/>
        <w:rPr>
          <w:rFonts w:ascii="Times New Roman" w:eastAsia="SimSun" w:hAnsi="Times New Roman" w:cs="Times New Roman"/>
          <w:b/>
          <w:sz w:val="20"/>
          <w:szCs w:val="20"/>
          <w:lang w:eastAsia="x-none"/>
        </w:rPr>
      </w:pPr>
    </w:p>
    <w:p w:rsidR="00AF7AA6" w:rsidRDefault="00AC359E"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FC37B4" w:rsidRPr="00515BF6" w:rsidRDefault="00AF7AA6" w:rsidP="00515BF6">
      <w:pPr>
        <w:pStyle w:val="1"/>
        <w:ind w:left="0" w:firstLine="0"/>
        <w:jc w:val="both"/>
        <w:rPr>
          <w:rFonts w:ascii="Calibri" w:eastAsia="新細明體" w:hAnsi="Calibri" w:cs="Calibri"/>
          <w:color w:val="0D0D0D"/>
          <w:sz w:val="20"/>
          <w:lang w:val="en-US" w:eastAsia="zh-TW"/>
        </w:rPr>
      </w:pPr>
      <w:r w:rsidRPr="00CD0BF3">
        <w:rPr>
          <w:rFonts w:ascii="Calibri" w:eastAsia="新細明體" w:hAnsi="Calibri" w:cs="Calibri"/>
          <w:color w:val="0D0D0D"/>
          <w:sz w:val="20"/>
          <w:lang w:val="en-US" w:eastAsia="zh-TW"/>
        </w:rPr>
        <w:t xml:space="preserve">[1] </w:t>
      </w:r>
      <w:r w:rsidR="00CD0BF3" w:rsidRPr="00CD0BF3">
        <w:rPr>
          <w:rFonts w:ascii="Calibri" w:eastAsia="新細明體" w:hAnsi="Calibri" w:cs="Calibri"/>
          <w:color w:val="0D0D0D"/>
          <w:sz w:val="20"/>
          <w:lang w:val="en-US" w:eastAsia="zh-TW"/>
        </w:rPr>
        <w:t>R4-1809355</w:t>
      </w:r>
      <w:r w:rsidR="004708EF" w:rsidRPr="00CD0BF3">
        <w:rPr>
          <w:rFonts w:ascii="Calibri" w:eastAsia="新細明體" w:hAnsi="Calibri" w:cs="Calibri"/>
          <w:color w:val="0D0D0D"/>
          <w:sz w:val="20"/>
          <w:lang w:val="en-US" w:eastAsia="zh-TW"/>
        </w:rPr>
        <w:t>, “</w:t>
      </w:r>
      <w:r w:rsidR="00CD0BF3" w:rsidRPr="00CD0BF3">
        <w:rPr>
          <w:rFonts w:ascii="Calibri" w:eastAsia="新細明體" w:hAnsi="Calibri" w:cs="Calibri"/>
          <w:color w:val="0D0D0D"/>
          <w:sz w:val="20"/>
          <w:lang w:val="en-US" w:eastAsia="zh-TW"/>
        </w:rPr>
        <w:t>AH for NR signal characteristics</w:t>
      </w:r>
      <w:r w:rsidR="004708EF" w:rsidRPr="00CD0BF3">
        <w:rPr>
          <w:rFonts w:ascii="Calibri" w:eastAsia="新細明體" w:hAnsi="Calibri" w:cs="Calibri"/>
          <w:color w:val="0D0D0D"/>
          <w:sz w:val="20"/>
          <w:lang w:val="en-US" w:eastAsia="zh-TW"/>
        </w:rPr>
        <w:t xml:space="preserve">”, </w:t>
      </w:r>
      <w:r w:rsidR="00CD0BF3" w:rsidRPr="00CD0BF3">
        <w:rPr>
          <w:rFonts w:ascii="Calibri" w:eastAsia="新細明體" w:hAnsi="Calibri" w:cs="Calibri"/>
          <w:color w:val="0D0D0D"/>
          <w:sz w:val="20"/>
          <w:lang w:val="en-US" w:eastAsia="zh-TW"/>
        </w:rPr>
        <w:t>Huawei, HiSilicon</w:t>
      </w:r>
    </w:p>
    <w:sectPr w:rsidR="00FC37B4" w:rsidRPr="00515BF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3F1" w:rsidRDefault="006B53F1" w:rsidP="008B46F2">
      <w:pPr>
        <w:spacing w:after="0" w:line="240" w:lineRule="auto"/>
      </w:pPr>
      <w:r>
        <w:separator/>
      </w:r>
    </w:p>
  </w:endnote>
  <w:endnote w:type="continuationSeparator" w:id="0">
    <w:p w:rsidR="006B53F1" w:rsidRDefault="006B53F1"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3F1" w:rsidRDefault="006B53F1" w:rsidP="008B46F2">
      <w:pPr>
        <w:spacing w:after="0" w:line="240" w:lineRule="auto"/>
      </w:pPr>
      <w:r>
        <w:separator/>
      </w:r>
    </w:p>
  </w:footnote>
  <w:footnote w:type="continuationSeparator" w:id="0">
    <w:p w:rsidR="006B53F1" w:rsidRDefault="006B53F1"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9F4"/>
    <w:multiLevelType w:val="hybridMultilevel"/>
    <w:tmpl w:val="312A70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942AEB"/>
    <w:multiLevelType w:val="hybridMultilevel"/>
    <w:tmpl w:val="459AA4C8"/>
    <w:lvl w:ilvl="0" w:tplc="1E143758">
      <w:start w:val="1"/>
      <w:numFmt w:val="bullet"/>
      <w:lvlText w:val="•"/>
      <w:lvlJc w:val="left"/>
      <w:pPr>
        <w:tabs>
          <w:tab w:val="num" w:pos="720"/>
        </w:tabs>
        <w:ind w:left="720" w:hanging="360"/>
      </w:pPr>
      <w:rPr>
        <w:rFonts w:ascii="Arial" w:hAnsi="Arial" w:hint="default"/>
      </w:rPr>
    </w:lvl>
    <w:lvl w:ilvl="1" w:tplc="BD10A520">
      <w:start w:val="100"/>
      <w:numFmt w:val="bullet"/>
      <w:lvlText w:val="•"/>
      <w:lvlJc w:val="left"/>
      <w:pPr>
        <w:tabs>
          <w:tab w:val="num" w:pos="1440"/>
        </w:tabs>
        <w:ind w:left="1440" w:hanging="360"/>
      </w:pPr>
      <w:rPr>
        <w:rFonts w:ascii="Arial" w:hAnsi="Arial" w:hint="default"/>
      </w:rPr>
    </w:lvl>
    <w:lvl w:ilvl="2" w:tplc="3DCE677C" w:tentative="1">
      <w:start w:val="1"/>
      <w:numFmt w:val="bullet"/>
      <w:lvlText w:val="•"/>
      <w:lvlJc w:val="left"/>
      <w:pPr>
        <w:tabs>
          <w:tab w:val="num" w:pos="2160"/>
        </w:tabs>
        <w:ind w:left="2160" w:hanging="360"/>
      </w:pPr>
      <w:rPr>
        <w:rFonts w:ascii="Arial" w:hAnsi="Arial" w:hint="default"/>
      </w:rPr>
    </w:lvl>
    <w:lvl w:ilvl="3" w:tplc="6EC84ACA" w:tentative="1">
      <w:start w:val="1"/>
      <w:numFmt w:val="bullet"/>
      <w:lvlText w:val="•"/>
      <w:lvlJc w:val="left"/>
      <w:pPr>
        <w:tabs>
          <w:tab w:val="num" w:pos="2880"/>
        </w:tabs>
        <w:ind w:left="2880" w:hanging="360"/>
      </w:pPr>
      <w:rPr>
        <w:rFonts w:ascii="Arial" w:hAnsi="Arial" w:hint="default"/>
      </w:rPr>
    </w:lvl>
    <w:lvl w:ilvl="4" w:tplc="8EC0E6F4" w:tentative="1">
      <w:start w:val="1"/>
      <w:numFmt w:val="bullet"/>
      <w:lvlText w:val="•"/>
      <w:lvlJc w:val="left"/>
      <w:pPr>
        <w:tabs>
          <w:tab w:val="num" w:pos="3600"/>
        </w:tabs>
        <w:ind w:left="3600" w:hanging="360"/>
      </w:pPr>
      <w:rPr>
        <w:rFonts w:ascii="Arial" w:hAnsi="Arial" w:hint="default"/>
      </w:rPr>
    </w:lvl>
    <w:lvl w:ilvl="5" w:tplc="9D624BAA" w:tentative="1">
      <w:start w:val="1"/>
      <w:numFmt w:val="bullet"/>
      <w:lvlText w:val="•"/>
      <w:lvlJc w:val="left"/>
      <w:pPr>
        <w:tabs>
          <w:tab w:val="num" w:pos="4320"/>
        </w:tabs>
        <w:ind w:left="4320" w:hanging="360"/>
      </w:pPr>
      <w:rPr>
        <w:rFonts w:ascii="Arial" w:hAnsi="Arial" w:hint="default"/>
      </w:rPr>
    </w:lvl>
    <w:lvl w:ilvl="6" w:tplc="0928988C" w:tentative="1">
      <w:start w:val="1"/>
      <w:numFmt w:val="bullet"/>
      <w:lvlText w:val="•"/>
      <w:lvlJc w:val="left"/>
      <w:pPr>
        <w:tabs>
          <w:tab w:val="num" w:pos="5040"/>
        </w:tabs>
        <w:ind w:left="5040" w:hanging="360"/>
      </w:pPr>
      <w:rPr>
        <w:rFonts w:ascii="Arial" w:hAnsi="Arial" w:hint="default"/>
      </w:rPr>
    </w:lvl>
    <w:lvl w:ilvl="7" w:tplc="A9908756" w:tentative="1">
      <w:start w:val="1"/>
      <w:numFmt w:val="bullet"/>
      <w:lvlText w:val="•"/>
      <w:lvlJc w:val="left"/>
      <w:pPr>
        <w:tabs>
          <w:tab w:val="num" w:pos="5760"/>
        </w:tabs>
        <w:ind w:left="5760" w:hanging="360"/>
      </w:pPr>
      <w:rPr>
        <w:rFonts w:ascii="Arial" w:hAnsi="Arial" w:hint="default"/>
      </w:rPr>
    </w:lvl>
    <w:lvl w:ilvl="8" w:tplc="5E3EC9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727CD0"/>
    <w:multiLevelType w:val="hybridMultilevel"/>
    <w:tmpl w:val="AC8E661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622C9C"/>
    <w:multiLevelType w:val="hybridMultilevel"/>
    <w:tmpl w:val="42F66904"/>
    <w:lvl w:ilvl="0" w:tplc="4DD0824E">
      <w:start w:val="1"/>
      <w:numFmt w:val="bullet"/>
      <w:lvlText w:val="•"/>
      <w:lvlJc w:val="left"/>
      <w:pPr>
        <w:tabs>
          <w:tab w:val="num" w:pos="720"/>
        </w:tabs>
        <w:ind w:left="720" w:hanging="360"/>
      </w:pPr>
      <w:rPr>
        <w:rFonts w:ascii="Arial" w:hAnsi="Arial" w:hint="default"/>
      </w:rPr>
    </w:lvl>
    <w:lvl w:ilvl="1" w:tplc="918E8A0A" w:tentative="1">
      <w:start w:val="1"/>
      <w:numFmt w:val="bullet"/>
      <w:lvlText w:val="•"/>
      <w:lvlJc w:val="left"/>
      <w:pPr>
        <w:tabs>
          <w:tab w:val="num" w:pos="1440"/>
        </w:tabs>
        <w:ind w:left="1440" w:hanging="360"/>
      </w:pPr>
      <w:rPr>
        <w:rFonts w:ascii="Arial" w:hAnsi="Arial" w:hint="default"/>
      </w:rPr>
    </w:lvl>
    <w:lvl w:ilvl="2" w:tplc="13B41F64" w:tentative="1">
      <w:start w:val="1"/>
      <w:numFmt w:val="bullet"/>
      <w:lvlText w:val="•"/>
      <w:lvlJc w:val="left"/>
      <w:pPr>
        <w:tabs>
          <w:tab w:val="num" w:pos="2160"/>
        </w:tabs>
        <w:ind w:left="2160" w:hanging="360"/>
      </w:pPr>
      <w:rPr>
        <w:rFonts w:ascii="Arial" w:hAnsi="Arial" w:hint="default"/>
      </w:rPr>
    </w:lvl>
    <w:lvl w:ilvl="3" w:tplc="95D81D22" w:tentative="1">
      <w:start w:val="1"/>
      <w:numFmt w:val="bullet"/>
      <w:lvlText w:val="•"/>
      <w:lvlJc w:val="left"/>
      <w:pPr>
        <w:tabs>
          <w:tab w:val="num" w:pos="2880"/>
        </w:tabs>
        <w:ind w:left="2880" w:hanging="360"/>
      </w:pPr>
      <w:rPr>
        <w:rFonts w:ascii="Arial" w:hAnsi="Arial" w:hint="default"/>
      </w:rPr>
    </w:lvl>
    <w:lvl w:ilvl="4" w:tplc="07ACC97E" w:tentative="1">
      <w:start w:val="1"/>
      <w:numFmt w:val="bullet"/>
      <w:lvlText w:val="•"/>
      <w:lvlJc w:val="left"/>
      <w:pPr>
        <w:tabs>
          <w:tab w:val="num" w:pos="3600"/>
        </w:tabs>
        <w:ind w:left="3600" w:hanging="360"/>
      </w:pPr>
      <w:rPr>
        <w:rFonts w:ascii="Arial" w:hAnsi="Arial" w:hint="default"/>
      </w:rPr>
    </w:lvl>
    <w:lvl w:ilvl="5" w:tplc="92CAEC2E" w:tentative="1">
      <w:start w:val="1"/>
      <w:numFmt w:val="bullet"/>
      <w:lvlText w:val="•"/>
      <w:lvlJc w:val="left"/>
      <w:pPr>
        <w:tabs>
          <w:tab w:val="num" w:pos="4320"/>
        </w:tabs>
        <w:ind w:left="4320" w:hanging="360"/>
      </w:pPr>
      <w:rPr>
        <w:rFonts w:ascii="Arial" w:hAnsi="Arial" w:hint="default"/>
      </w:rPr>
    </w:lvl>
    <w:lvl w:ilvl="6" w:tplc="65248BAC" w:tentative="1">
      <w:start w:val="1"/>
      <w:numFmt w:val="bullet"/>
      <w:lvlText w:val="•"/>
      <w:lvlJc w:val="left"/>
      <w:pPr>
        <w:tabs>
          <w:tab w:val="num" w:pos="5040"/>
        </w:tabs>
        <w:ind w:left="5040" w:hanging="360"/>
      </w:pPr>
      <w:rPr>
        <w:rFonts w:ascii="Arial" w:hAnsi="Arial" w:hint="default"/>
      </w:rPr>
    </w:lvl>
    <w:lvl w:ilvl="7" w:tplc="B5482CBC" w:tentative="1">
      <w:start w:val="1"/>
      <w:numFmt w:val="bullet"/>
      <w:lvlText w:val="•"/>
      <w:lvlJc w:val="left"/>
      <w:pPr>
        <w:tabs>
          <w:tab w:val="num" w:pos="5760"/>
        </w:tabs>
        <w:ind w:left="5760" w:hanging="360"/>
      </w:pPr>
      <w:rPr>
        <w:rFonts w:ascii="Arial" w:hAnsi="Arial" w:hint="default"/>
      </w:rPr>
    </w:lvl>
    <w:lvl w:ilvl="8" w:tplc="8C04FD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4410D3"/>
    <w:multiLevelType w:val="hybridMultilevel"/>
    <w:tmpl w:val="437A2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980A61"/>
    <w:multiLevelType w:val="hybridMultilevel"/>
    <w:tmpl w:val="BB262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EF0645"/>
    <w:multiLevelType w:val="hybridMultilevel"/>
    <w:tmpl w:val="55A4E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5F91858"/>
    <w:multiLevelType w:val="hybridMultilevel"/>
    <w:tmpl w:val="23A00066"/>
    <w:lvl w:ilvl="0" w:tplc="B5086CAA">
      <w:start w:val="1"/>
      <w:numFmt w:val="bullet"/>
      <w:lvlText w:val="•"/>
      <w:lvlJc w:val="left"/>
      <w:pPr>
        <w:tabs>
          <w:tab w:val="num" w:pos="720"/>
        </w:tabs>
        <w:ind w:left="720" w:hanging="360"/>
      </w:pPr>
      <w:rPr>
        <w:rFonts w:ascii="Arial" w:hAnsi="Arial" w:hint="default"/>
      </w:rPr>
    </w:lvl>
    <w:lvl w:ilvl="1" w:tplc="573CF062">
      <w:start w:val="63"/>
      <w:numFmt w:val="bullet"/>
      <w:lvlText w:val="–"/>
      <w:lvlJc w:val="left"/>
      <w:pPr>
        <w:tabs>
          <w:tab w:val="num" w:pos="1440"/>
        </w:tabs>
        <w:ind w:left="1440" w:hanging="360"/>
      </w:pPr>
      <w:rPr>
        <w:rFonts w:ascii="Arial" w:hAnsi="Arial" w:hint="default"/>
      </w:rPr>
    </w:lvl>
    <w:lvl w:ilvl="2" w:tplc="77E4E1FA">
      <w:start w:val="63"/>
      <w:numFmt w:val="bullet"/>
      <w:lvlText w:val="•"/>
      <w:lvlJc w:val="left"/>
      <w:pPr>
        <w:tabs>
          <w:tab w:val="num" w:pos="2160"/>
        </w:tabs>
        <w:ind w:left="2160" w:hanging="360"/>
      </w:pPr>
      <w:rPr>
        <w:rFonts w:ascii="Arial" w:hAnsi="Arial" w:hint="default"/>
      </w:rPr>
    </w:lvl>
    <w:lvl w:ilvl="3" w:tplc="B4F6E2EC" w:tentative="1">
      <w:start w:val="1"/>
      <w:numFmt w:val="bullet"/>
      <w:lvlText w:val="•"/>
      <w:lvlJc w:val="left"/>
      <w:pPr>
        <w:tabs>
          <w:tab w:val="num" w:pos="2880"/>
        </w:tabs>
        <w:ind w:left="2880" w:hanging="360"/>
      </w:pPr>
      <w:rPr>
        <w:rFonts w:ascii="Arial" w:hAnsi="Arial" w:hint="default"/>
      </w:rPr>
    </w:lvl>
    <w:lvl w:ilvl="4" w:tplc="182223C4" w:tentative="1">
      <w:start w:val="1"/>
      <w:numFmt w:val="bullet"/>
      <w:lvlText w:val="•"/>
      <w:lvlJc w:val="left"/>
      <w:pPr>
        <w:tabs>
          <w:tab w:val="num" w:pos="3600"/>
        </w:tabs>
        <w:ind w:left="3600" w:hanging="360"/>
      </w:pPr>
      <w:rPr>
        <w:rFonts w:ascii="Arial" w:hAnsi="Arial" w:hint="default"/>
      </w:rPr>
    </w:lvl>
    <w:lvl w:ilvl="5" w:tplc="5AA24A44" w:tentative="1">
      <w:start w:val="1"/>
      <w:numFmt w:val="bullet"/>
      <w:lvlText w:val="•"/>
      <w:lvlJc w:val="left"/>
      <w:pPr>
        <w:tabs>
          <w:tab w:val="num" w:pos="4320"/>
        </w:tabs>
        <w:ind w:left="4320" w:hanging="360"/>
      </w:pPr>
      <w:rPr>
        <w:rFonts w:ascii="Arial" w:hAnsi="Arial" w:hint="default"/>
      </w:rPr>
    </w:lvl>
    <w:lvl w:ilvl="6" w:tplc="A0DEFEA4" w:tentative="1">
      <w:start w:val="1"/>
      <w:numFmt w:val="bullet"/>
      <w:lvlText w:val="•"/>
      <w:lvlJc w:val="left"/>
      <w:pPr>
        <w:tabs>
          <w:tab w:val="num" w:pos="5040"/>
        </w:tabs>
        <w:ind w:left="5040" w:hanging="360"/>
      </w:pPr>
      <w:rPr>
        <w:rFonts w:ascii="Arial" w:hAnsi="Arial" w:hint="default"/>
      </w:rPr>
    </w:lvl>
    <w:lvl w:ilvl="7" w:tplc="750E308E" w:tentative="1">
      <w:start w:val="1"/>
      <w:numFmt w:val="bullet"/>
      <w:lvlText w:val="•"/>
      <w:lvlJc w:val="left"/>
      <w:pPr>
        <w:tabs>
          <w:tab w:val="num" w:pos="5760"/>
        </w:tabs>
        <w:ind w:left="5760" w:hanging="360"/>
      </w:pPr>
      <w:rPr>
        <w:rFonts w:ascii="Arial" w:hAnsi="Arial" w:hint="default"/>
      </w:rPr>
    </w:lvl>
    <w:lvl w:ilvl="8" w:tplc="3EA6CD7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41"/>
  </w:num>
  <w:num w:numId="3">
    <w:abstractNumId w:val="31"/>
  </w:num>
  <w:num w:numId="4">
    <w:abstractNumId w:val="11"/>
  </w:num>
  <w:num w:numId="5">
    <w:abstractNumId w:val="43"/>
  </w:num>
  <w:num w:numId="6">
    <w:abstractNumId w:val="29"/>
  </w:num>
  <w:num w:numId="7">
    <w:abstractNumId w:val="37"/>
  </w:num>
  <w:num w:numId="8">
    <w:abstractNumId w:val="8"/>
  </w:num>
  <w:num w:numId="9">
    <w:abstractNumId w:val="21"/>
  </w:num>
  <w:num w:numId="10">
    <w:abstractNumId w:val="16"/>
  </w:num>
  <w:num w:numId="11">
    <w:abstractNumId w:val="14"/>
  </w:num>
  <w:num w:numId="12">
    <w:abstractNumId w:val="2"/>
  </w:num>
  <w:num w:numId="13">
    <w:abstractNumId w:val="10"/>
  </w:num>
  <w:num w:numId="14">
    <w:abstractNumId w:val="1"/>
  </w:num>
  <w:num w:numId="15">
    <w:abstractNumId w:val="20"/>
  </w:num>
  <w:num w:numId="16">
    <w:abstractNumId w:val="45"/>
  </w:num>
  <w:num w:numId="17">
    <w:abstractNumId w:val="28"/>
  </w:num>
  <w:num w:numId="18">
    <w:abstractNumId w:val="32"/>
  </w:num>
  <w:num w:numId="19">
    <w:abstractNumId w:val="18"/>
  </w:num>
  <w:num w:numId="20">
    <w:abstractNumId w:val="12"/>
  </w:num>
  <w:num w:numId="21">
    <w:abstractNumId w:val="39"/>
  </w:num>
  <w:num w:numId="22">
    <w:abstractNumId w:val="27"/>
  </w:num>
  <w:num w:numId="23">
    <w:abstractNumId w:val="47"/>
  </w:num>
  <w:num w:numId="24">
    <w:abstractNumId w:val="5"/>
  </w:num>
  <w:num w:numId="25">
    <w:abstractNumId w:val="38"/>
  </w:num>
  <w:num w:numId="26">
    <w:abstractNumId w:val="36"/>
  </w:num>
  <w:num w:numId="27">
    <w:abstractNumId w:val="17"/>
  </w:num>
  <w:num w:numId="28">
    <w:abstractNumId w:val="4"/>
  </w:num>
  <w:num w:numId="29">
    <w:abstractNumId w:val="25"/>
  </w:num>
  <w:num w:numId="30">
    <w:abstractNumId w:val="40"/>
  </w:num>
  <w:num w:numId="31">
    <w:abstractNumId w:val="35"/>
  </w:num>
  <w:num w:numId="32">
    <w:abstractNumId w:val="23"/>
  </w:num>
  <w:num w:numId="33">
    <w:abstractNumId w:val="44"/>
  </w:num>
  <w:num w:numId="34">
    <w:abstractNumId w:val="6"/>
  </w:num>
  <w:num w:numId="35">
    <w:abstractNumId w:val="48"/>
  </w:num>
  <w:num w:numId="36">
    <w:abstractNumId w:val="34"/>
  </w:num>
  <w:num w:numId="37">
    <w:abstractNumId w:val="22"/>
  </w:num>
  <w:num w:numId="38">
    <w:abstractNumId w:val="26"/>
  </w:num>
  <w:num w:numId="39">
    <w:abstractNumId w:val="7"/>
  </w:num>
  <w:num w:numId="40">
    <w:abstractNumId w:val="15"/>
  </w:num>
  <w:num w:numId="41">
    <w:abstractNumId w:val="24"/>
  </w:num>
  <w:num w:numId="42">
    <w:abstractNumId w:val="13"/>
  </w:num>
  <w:num w:numId="43">
    <w:abstractNumId w:val="3"/>
  </w:num>
  <w:num w:numId="44">
    <w:abstractNumId w:val="30"/>
  </w:num>
  <w:num w:numId="45">
    <w:abstractNumId w:val="19"/>
  </w:num>
  <w:num w:numId="46">
    <w:abstractNumId w:val="0"/>
  </w:num>
  <w:num w:numId="47">
    <w:abstractNumId w:val="46"/>
  </w:num>
  <w:num w:numId="48">
    <w:abstractNumId w:val="9"/>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0796D"/>
    <w:rsid w:val="000124A6"/>
    <w:rsid w:val="000200EB"/>
    <w:rsid w:val="00040AE5"/>
    <w:rsid w:val="00045178"/>
    <w:rsid w:val="0004581B"/>
    <w:rsid w:val="00052C73"/>
    <w:rsid w:val="00053C66"/>
    <w:rsid w:val="000553EB"/>
    <w:rsid w:val="00055B1C"/>
    <w:rsid w:val="000627DD"/>
    <w:rsid w:val="000629FD"/>
    <w:rsid w:val="00065A8B"/>
    <w:rsid w:val="00065C5F"/>
    <w:rsid w:val="00067FE4"/>
    <w:rsid w:val="0007461A"/>
    <w:rsid w:val="00075BFA"/>
    <w:rsid w:val="00076550"/>
    <w:rsid w:val="00076F85"/>
    <w:rsid w:val="00085372"/>
    <w:rsid w:val="00091660"/>
    <w:rsid w:val="0009445D"/>
    <w:rsid w:val="000946FA"/>
    <w:rsid w:val="00094D42"/>
    <w:rsid w:val="000952FD"/>
    <w:rsid w:val="000A11A9"/>
    <w:rsid w:val="000A5D7A"/>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6EAE"/>
    <w:rsid w:val="001009C1"/>
    <w:rsid w:val="0010295D"/>
    <w:rsid w:val="00104301"/>
    <w:rsid w:val="001045F6"/>
    <w:rsid w:val="001053AF"/>
    <w:rsid w:val="001057E4"/>
    <w:rsid w:val="00106492"/>
    <w:rsid w:val="001102B8"/>
    <w:rsid w:val="0011370F"/>
    <w:rsid w:val="00122F51"/>
    <w:rsid w:val="001249B3"/>
    <w:rsid w:val="00124F09"/>
    <w:rsid w:val="00124FD2"/>
    <w:rsid w:val="001253A0"/>
    <w:rsid w:val="00131CCD"/>
    <w:rsid w:val="00142A74"/>
    <w:rsid w:val="00142F86"/>
    <w:rsid w:val="00143177"/>
    <w:rsid w:val="00143658"/>
    <w:rsid w:val="001455B7"/>
    <w:rsid w:val="00150268"/>
    <w:rsid w:val="001507E0"/>
    <w:rsid w:val="001541F0"/>
    <w:rsid w:val="00154C2A"/>
    <w:rsid w:val="00155773"/>
    <w:rsid w:val="00155941"/>
    <w:rsid w:val="00156F8D"/>
    <w:rsid w:val="00162F85"/>
    <w:rsid w:val="00166AEC"/>
    <w:rsid w:val="00172A0F"/>
    <w:rsid w:val="00173C94"/>
    <w:rsid w:val="00173F16"/>
    <w:rsid w:val="001740B4"/>
    <w:rsid w:val="00174345"/>
    <w:rsid w:val="00174F24"/>
    <w:rsid w:val="00175A7A"/>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683"/>
    <w:rsid w:val="001A56A8"/>
    <w:rsid w:val="001A62A5"/>
    <w:rsid w:val="001B363A"/>
    <w:rsid w:val="001B579F"/>
    <w:rsid w:val="001C105E"/>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7665E"/>
    <w:rsid w:val="00280E37"/>
    <w:rsid w:val="00282F42"/>
    <w:rsid w:val="00290EB5"/>
    <w:rsid w:val="00292CCC"/>
    <w:rsid w:val="002942C0"/>
    <w:rsid w:val="00295E51"/>
    <w:rsid w:val="00295E8D"/>
    <w:rsid w:val="002A202E"/>
    <w:rsid w:val="002A392D"/>
    <w:rsid w:val="002A555A"/>
    <w:rsid w:val="002B072E"/>
    <w:rsid w:val="002B0E88"/>
    <w:rsid w:val="002B2097"/>
    <w:rsid w:val="002B521C"/>
    <w:rsid w:val="002C04D8"/>
    <w:rsid w:val="002C1909"/>
    <w:rsid w:val="002C1C95"/>
    <w:rsid w:val="002C51B9"/>
    <w:rsid w:val="002C71EF"/>
    <w:rsid w:val="002D1433"/>
    <w:rsid w:val="002D2689"/>
    <w:rsid w:val="002D6067"/>
    <w:rsid w:val="002D655E"/>
    <w:rsid w:val="002E6354"/>
    <w:rsid w:val="002E73B3"/>
    <w:rsid w:val="002E7C2F"/>
    <w:rsid w:val="002F01F6"/>
    <w:rsid w:val="002F275D"/>
    <w:rsid w:val="002F2F83"/>
    <w:rsid w:val="00300462"/>
    <w:rsid w:val="00300C80"/>
    <w:rsid w:val="00305ED6"/>
    <w:rsid w:val="0030640A"/>
    <w:rsid w:val="00307A6F"/>
    <w:rsid w:val="00310753"/>
    <w:rsid w:val="0031309E"/>
    <w:rsid w:val="00316805"/>
    <w:rsid w:val="00317CB3"/>
    <w:rsid w:val="003225F1"/>
    <w:rsid w:val="00324B1E"/>
    <w:rsid w:val="00331B27"/>
    <w:rsid w:val="00331DB3"/>
    <w:rsid w:val="00332B16"/>
    <w:rsid w:val="00337EC4"/>
    <w:rsid w:val="00342262"/>
    <w:rsid w:val="0034272F"/>
    <w:rsid w:val="00355C00"/>
    <w:rsid w:val="00356391"/>
    <w:rsid w:val="003572BA"/>
    <w:rsid w:val="00361114"/>
    <w:rsid w:val="003621EF"/>
    <w:rsid w:val="003632BE"/>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693"/>
    <w:rsid w:val="00466D7F"/>
    <w:rsid w:val="00467337"/>
    <w:rsid w:val="00470794"/>
    <w:rsid w:val="004708EF"/>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D0FAF"/>
    <w:rsid w:val="004E09E4"/>
    <w:rsid w:val="004E3927"/>
    <w:rsid w:val="004E4887"/>
    <w:rsid w:val="004E4955"/>
    <w:rsid w:val="004E49B1"/>
    <w:rsid w:val="004F3668"/>
    <w:rsid w:val="004F77A6"/>
    <w:rsid w:val="00502D59"/>
    <w:rsid w:val="00503AD1"/>
    <w:rsid w:val="00505955"/>
    <w:rsid w:val="005059EE"/>
    <w:rsid w:val="005109F5"/>
    <w:rsid w:val="005130EB"/>
    <w:rsid w:val="0051325B"/>
    <w:rsid w:val="00515004"/>
    <w:rsid w:val="0051555B"/>
    <w:rsid w:val="00515BF6"/>
    <w:rsid w:val="00516C88"/>
    <w:rsid w:val="00517915"/>
    <w:rsid w:val="00520902"/>
    <w:rsid w:val="0052200C"/>
    <w:rsid w:val="005226D7"/>
    <w:rsid w:val="005266D0"/>
    <w:rsid w:val="005340C0"/>
    <w:rsid w:val="00535129"/>
    <w:rsid w:val="00537F65"/>
    <w:rsid w:val="005424C8"/>
    <w:rsid w:val="0054550E"/>
    <w:rsid w:val="00547527"/>
    <w:rsid w:val="005515B0"/>
    <w:rsid w:val="00560D26"/>
    <w:rsid w:val="005722FF"/>
    <w:rsid w:val="00572C7D"/>
    <w:rsid w:val="005806E2"/>
    <w:rsid w:val="00583831"/>
    <w:rsid w:val="00585012"/>
    <w:rsid w:val="005865DF"/>
    <w:rsid w:val="00587CCC"/>
    <w:rsid w:val="00590862"/>
    <w:rsid w:val="00590D9F"/>
    <w:rsid w:val="005917E4"/>
    <w:rsid w:val="00592813"/>
    <w:rsid w:val="00593B3B"/>
    <w:rsid w:val="005A0D71"/>
    <w:rsid w:val="005A15EA"/>
    <w:rsid w:val="005A6878"/>
    <w:rsid w:val="005B1303"/>
    <w:rsid w:val="005B1696"/>
    <w:rsid w:val="005B20E8"/>
    <w:rsid w:val="005B42D8"/>
    <w:rsid w:val="005B4374"/>
    <w:rsid w:val="005B57B2"/>
    <w:rsid w:val="005C06E9"/>
    <w:rsid w:val="005C356C"/>
    <w:rsid w:val="005D28A7"/>
    <w:rsid w:val="005D2CD0"/>
    <w:rsid w:val="005D5851"/>
    <w:rsid w:val="005E0052"/>
    <w:rsid w:val="005E1693"/>
    <w:rsid w:val="005E232D"/>
    <w:rsid w:val="005E25B8"/>
    <w:rsid w:val="005E41E1"/>
    <w:rsid w:val="005F0967"/>
    <w:rsid w:val="005F0E63"/>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2708"/>
    <w:rsid w:val="00644231"/>
    <w:rsid w:val="00644D7A"/>
    <w:rsid w:val="0064664F"/>
    <w:rsid w:val="006476E5"/>
    <w:rsid w:val="006502BE"/>
    <w:rsid w:val="006534DB"/>
    <w:rsid w:val="00655D3D"/>
    <w:rsid w:val="0066047D"/>
    <w:rsid w:val="00660484"/>
    <w:rsid w:val="006720CC"/>
    <w:rsid w:val="0067409D"/>
    <w:rsid w:val="006814B5"/>
    <w:rsid w:val="00685F43"/>
    <w:rsid w:val="0069259D"/>
    <w:rsid w:val="00693CDA"/>
    <w:rsid w:val="00697094"/>
    <w:rsid w:val="006A33D4"/>
    <w:rsid w:val="006A5AD7"/>
    <w:rsid w:val="006B047F"/>
    <w:rsid w:val="006B12DA"/>
    <w:rsid w:val="006B23B0"/>
    <w:rsid w:val="006B53F1"/>
    <w:rsid w:val="006B7556"/>
    <w:rsid w:val="006B76E4"/>
    <w:rsid w:val="006C02D2"/>
    <w:rsid w:val="006C76E1"/>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17B5D"/>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84C87"/>
    <w:rsid w:val="00791BDC"/>
    <w:rsid w:val="00797684"/>
    <w:rsid w:val="00797A38"/>
    <w:rsid w:val="007A2398"/>
    <w:rsid w:val="007B5A95"/>
    <w:rsid w:val="007B7C25"/>
    <w:rsid w:val="007C2F19"/>
    <w:rsid w:val="007C4070"/>
    <w:rsid w:val="007C69DE"/>
    <w:rsid w:val="007D1446"/>
    <w:rsid w:val="007D4431"/>
    <w:rsid w:val="007D55DB"/>
    <w:rsid w:val="007E2F64"/>
    <w:rsid w:val="007E5F83"/>
    <w:rsid w:val="007E767B"/>
    <w:rsid w:val="007E7F43"/>
    <w:rsid w:val="007F5938"/>
    <w:rsid w:val="0080175B"/>
    <w:rsid w:val="008059E1"/>
    <w:rsid w:val="008123CF"/>
    <w:rsid w:val="00813580"/>
    <w:rsid w:val="00813ABA"/>
    <w:rsid w:val="00815528"/>
    <w:rsid w:val="00815FE4"/>
    <w:rsid w:val="0082275E"/>
    <w:rsid w:val="00823E1B"/>
    <w:rsid w:val="008245D8"/>
    <w:rsid w:val="00825482"/>
    <w:rsid w:val="00826C44"/>
    <w:rsid w:val="0083043F"/>
    <w:rsid w:val="00830A56"/>
    <w:rsid w:val="00831533"/>
    <w:rsid w:val="00833628"/>
    <w:rsid w:val="00840449"/>
    <w:rsid w:val="00843F23"/>
    <w:rsid w:val="00846169"/>
    <w:rsid w:val="00850DD6"/>
    <w:rsid w:val="00853AAE"/>
    <w:rsid w:val="00855608"/>
    <w:rsid w:val="00863843"/>
    <w:rsid w:val="00864158"/>
    <w:rsid w:val="00864F8E"/>
    <w:rsid w:val="00865E0A"/>
    <w:rsid w:val="0087195F"/>
    <w:rsid w:val="00873DE4"/>
    <w:rsid w:val="008743EE"/>
    <w:rsid w:val="008766EC"/>
    <w:rsid w:val="00880EA6"/>
    <w:rsid w:val="00885174"/>
    <w:rsid w:val="00886BC0"/>
    <w:rsid w:val="0089738D"/>
    <w:rsid w:val="008A4FC6"/>
    <w:rsid w:val="008A55AB"/>
    <w:rsid w:val="008B2276"/>
    <w:rsid w:val="008B46F2"/>
    <w:rsid w:val="008B6D18"/>
    <w:rsid w:val="008B6FAF"/>
    <w:rsid w:val="008C0DCB"/>
    <w:rsid w:val="008C1AB9"/>
    <w:rsid w:val="008C77BE"/>
    <w:rsid w:val="008D096D"/>
    <w:rsid w:val="008D15E8"/>
    <w:rsid w:val="008D2B06"/>
    <w:rsid w:val="008D45A9"/>
    <w:rsid w:val="008D4ADB"/>
    <w:rsid w:val="008D6865"/>
    <w:rsid w:val="008D6910"/>
    <w:rsid w:val="008E50EF"/>
    <w:rsid w:val="008E5E49"/>
    <w:rsid w:val="008E7348"/>
    <w:rsid w:val="008F0B55"/>
    <w:rsid w:val="008F0C5C"/>
    <w:rsid w:val="008F12DE"/>
    <w:rsid w:val="008F4302"/>
    <w:rsid w:val="008F6051"/>
    <w:rsid w:val="00902FCE"/>
    <w:rsid w:val="0090523B"/>
    <w:rsid w:val="009053E0"/>
    <w:rsid w:val="00906066"/>
    <w:rsid w:val="00910BBC"/>
    <w:rsid w:val="009139BF"/>
    <w:rsid w:val="009166AC"/>
    <w:rsid w:val="0091725A"/>
    <w:rsid w:val="00922EF9"/>
    <w:rsid w:val="00924C4F"/>
    <w:rsid w:val="00925E48"/>
    <w:rsid w:val="009267F3"/>
    <w:rsid w:val="009312C1"/>
    <w:rsid w:val="009337B1"/>
    <w:rsid w:val="00934044"/>
    <w:rsid w:val="009402B3"/>
    <w:rsid w:val="00941CB1"/>
    <w:rsid w:val="009424F0"/>
    <w:rsid w:val="00942953"/>
    <w:rsid w:val="00946123"/>
    <w:rsid w:val="009473B5"/>
    <w:rsid w:val="00947EB6"/>
    <w:rsid w:val="00951A20"/>
    <w:rsid w:val="00952D77"/>
    <w:rsid w:val="00953218"/>
    <w:rsid w:val="00955DF1"/>
    <w:rsid w:val="00956A78"/>
    <w:rsid w:val="009610DD"/>
    <w:rsid w:val="00963344"/>
    <w:rsid w:val="00965706"/>
    <w:rsid w:val="00966AA9"/>
    <w:rsid w:val="00970641"/>
    <w:rsid w:val="00971B4D"/>
    <w:rsid w:val="009724DB"/>
    <w:rsid w:val="009729EF"/>
    <w:rsid w:val="00972D5C"/>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28B5"/>
    <w:rsid w:val="009E42F1"/>
    <w:rsid w:val="009E436A"/>
    <w:rsid w:val="009F0192"/>
    <w:rsid w:val="009F10E9"/>
    <w:rsid w:val="009F53CF"/>
    <w:rsid w:val="009F5703"/>
    <w:rsid w:val="00A04A49"/>
    <w:rsid w:val="00A05924"/>
    <w:rsid w:val="00A10095"/>
    <w:rsid w:val="00A124E5"/>
    <w:rsid w:val="00A23B97"/>
    <w:rsid w:val="00A26621"/>
    <w:rsid w:val="00A335AF"/>
    <w:rsid w:val="00A37352"/>
    <w:rsid w:val="00A37F9F"/>
    <w:rsid w:val="00A40DA0"/>
    <w:rsid w:val="00A41E8A"/>
    <w:rsid w:val="00A447ED"/>
    <w:rsid w:val="00A44DFE"/>
    <w:rsid w:val="00A501B7"/>
    <w:rsid w:val="00A52F2C"/>
    <w:rsid w:val="00A563D2"/>
    <w:rsid w:val="00A64D5D"/>
    <w:rsid w:val="00A70087"/>
    <w:rsid w:val="00A72E25"/>
    <w:rsid w:val="00A73AF2"/>
    <w:rsid w:val="00A82614"/>
    <w:rsid w:val="00A846B8"/>
    <w:rsid w:val="00A84C9A"/>
    <w:rsid w:val="00A87BDD"/>
    <w:rsid w:val="00A90FF3"/>
    <w:rsid w:val="00A92FFF"/>
    <w:rsid w:val="00A96FBD"/>
    <w:rsid w:val="00A978FD"/>
    <w:rsid w:val="00AA0B75"/>
    <w:rsid w:val="00AA0C0B"/>
    <w:rsid w:val="00AA3734"/>
    <w:rsid w:val="00AA6CE0"/>
    <w:rsid w:val="00AB251C"/>
    <w:rsid w:val="00AB4DF7"/>
    <w:rsid w:val="00AC1992"/>
    <w:rsid w:val="00AC359E"/>
    <w:rsid w:val="00AD001F"/>
    <w:rsid w:val="00AD065D"/>
    <w:rsid w:val="00AD573E"/>
    <w:rsid w:val="00AE01FA"/>
    <w:rsid w:val="00AE0F46"/>
    <w:rsid w:val="00AE115A"/>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0ACF"/>
    <w:rsid w:val="00B91413"/>
    <w:rsid w:val="00BA2682"/>
    <w:rsid w:val="00BA5637"/>
    <w:rsid w:val="00BA6A45"/>
    <w:rsid w:val="00BA6B82"/>
    <w:rsid w:val="00BA7B8E"/>
    <w:rsid w:val="00BA7C7D"/>
    <w:rsid w:val="00BB7226"/>
    <w:rsid w:val="00BB7D07"/>
    <w:rsid w:val="00BC037D"/>
    <w:rsid w:val="00BC4C1C"/>
    <w:rsid w:val="00BC62BA"/>
    <w:rsid w:val="00BC711D"/>
    <w:rsid w:val="00BD0219"/>
    <w:rsid w:val="00BD10B2"/>
    <w:rsid w:val="00BD1A8A"/>
    <w:rsid w:val="00BD28A8"/>
    <w:rsid w:val="00BD7AB5"/>
    <w:rsid w:val="00BE1DC2"/>
    <w:rsid w:val="00BE38D4"/>
    <w:rsid w:val="00BE424C"/>
    <w:rsid w:val="00BE7450"/>
    <w:rsid w:val="00BE7FEA"/>
    <w:rsid w:val="00BF44DE"/>
    <w:rsid w:val="00BF7926"/>
    <w:rsid w:val="00C009F9"/>
    <w:rsid w:val="00C04E2A"/>
    <w:rsid w:val="00C06792"/>
    <w:rsid w:val="00C1414C"/>
    <w:rsid w:val="00C17988"/>
    <w:rsid w:val="00C20C04"/>
    <w:rsid w:val="00C23DB6"/>
    <w:rsid w:val="00C328AB"/>
    <w:rsid w:val="00C3475D"/>
    <w:rsid w:val="00C4059F"/>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F7B"/>
    <w:rsid w:val="00C84C5E"/>
    <w:rsid w:val="00C85414"/>
    <w:rsid w:val="00C8562F"/>
    <w:rsid w:val="00C91CE2"/>
    <w:rsid w:val="00C956FD"/>
    <w:rsid w:val="00C97EC6"/>
    <w:rsid w:val="00CA2000"/>
    <w:rsid w:val="00CA4215"/>
    <w:rsid w:val="00CA5411"/>
    <w:rsid w:val="00CA6218"/>
    <w:rsid w:val="00CA7C42"/>
    <w:rsid w:val="00CB5FB6"/>
    <w:rsid w:val="00CC12EE"/>
    <w:rsid w:val="00CC1F87"/>
    <w:rsid w:val="00CC5401"/>
    <w:rsid w:val="00CC58A7"/>
    <w:rsid w:val="00CC5EDA"/>
    <w:rsid w:val="00CC7B9A"/>
    <w:rsid w:val="00CD0BF3"/>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53D"/>
    <w:rsid w:val="00D206FE"/>
    <w:rsid w:val="00D20DFD"/>
    <w:rsid w:val="00D23CED"/>
    <w:rsid w:val="00D244FA"/>
    <w:rsid w:val="00D2625B"/>
    <w:rsid w:val="00D304B3"/>
    <w:rsid w:val="00D31DB3"/>
    <w:rsid w:val="00D339E7"/>
    <w:rsid w:val="00D351C1"/>
    <w:rsid w:val="00D37F00"/>
    <w:rsid w:val="00D416B5"/>
    <w:rsid w:val="00D4469C"/>
    <w:rsid w:val="00D4678A"/>
    <w:rsid w:val="00D471AA"/>
    <w:rsid w:val="00D50D1B"/>
    <w:rsid w:val="00D52DD6"/>
    <w:rsid w:val="00D53BD4"/>
    <w:rsid w:val="00D560E1"/>
    <w:rsid w:val="00D611D4"/>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7615"/>
    <w:rsid w:val="00DA0661"/>
    <w:rsid w:val="00DA4390"/>
    <w:rsid w:val="00DA468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DF73A4"/>
    <w:rsid w:val="00E00789"/>
    <w:rsid w:val="00E01360"/>
    <w:rsid w:val="00E055C3"/>
    <w:rsid w:val="00E10336"/>
    <w:rsid w:val="00E1073D"/>
    <w:rsid w:val="00E142D2"/>
    <w:rsid w:val="00E17455"/>
    <w:rsid w:val="00E22059"/>
    <w:rsid w:val="00E222DB"/>
    <w:rsid w:val="00E23F4C"/>
    <w:rsid w:val="00E247D1"/>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433E"/>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6"/>
    <w:rsid w:val="00E95FBC"/>
    <w:rsid w:val="00EA0D1C"/>
    <w:rsid w:val="00EA435A"/>
    <w:rsid w:val="00EA5EC1"/>
    <w:rsid w:val="00EB1149"/>
    <w:rsid w:val="00EB53A0"/>
    <w:rsid w:val="00EB647E"/>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51133"/>
    <w:rsid w:val="00F52DAB"/>
    <w:rsid w:val="00F603ED"/>
    <w:rsid w:val="00F6167B"/>
    <w:rsid w:val="00F61E76"/>
    <w:rsid w:val="00F67C85"/>
    <w:rsid w:val="00F72882"/>
    <w:rsid w:val="00F7707F"/>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37B4"/>
    <w:rsid w:val="00FC43FD"/>
    <w:rsid w:val="00FC490A"/>
    <w:rsid w:val="00FC61DA"/>
    <w:rsid w:val="00FC63B1"/>
    <w:rsid w:val="00FC7291"/>
    <w:rsid w:val="00FD5B20"/>
    <w:rsid w:val="00FD7E4E"/>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9940">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55355202">
      <w:bodyDiv w:val="1"/>
      <w:marLeft w:val="0"/>
      <w:marRight w:val="0"/>
      <w:marTop w:val="0"/>
      <w:marBottom w:val="0"/>
      <w:divBdr>
        <w:top w:val="none" w:sz="0" w:space="0" w:color="auto"/>
        <w:left w:val="none" w:sz="0" w:space="0" w:color="auto"/>
        <w:bottom w:val="none" w:sz="0" w:space="0" w:color="auto"/>
        <w:right w:val="none" w:sz="0" w:space="0" w:color="auto"/>
      </w:divBdr>
      <w:divsChild>
        <w:div w:id="778838077">
          <w:marLeft w:val="547"/>
          <w:marRight w:val="0"/>
          <w:marTop w:val="134"/>
          <w:marBottom w:val="0"/>
          <w:divBdr>
            <w:top w:val="none" w:sz="0" w:space="0" w:color="auto"/>
            <w:left w:val="none" w:sz="0" w:space="0" w:color="auto"/>
            <w:bottom w:val="none" w:sz="0" w:space="0" w:color="auto"/>
            <w:right w:val="none" w:sz="0" w:space="0" w:color="auto"/>
          </w:divBdr>
        </w:div>
        <w:div w:id="667053969">
          <w:marLeft w:val="1166"/>
          <w:marRight w:val="0"/>
          <w:marTop w:val="115"/>
          <w:marBottom w:val="0"/>
          <w:divBdr>
            <w:top w:val="none" w:sz="0" w:space="0" w:color="auto"/>
            <w:left w:val="none" w:sz="0" w:space="0" w:color="auto"/>
            <w:bottom w:val="none" w:sz="0" w:space="0" w:color="auto"/>
            <w:right w:val="none" w:sz="0" w:space="0" w:color="auto"/>
          </w:divBdr>
        </w:div>
        <w:div w:id="2023705222">
          <w:marLeft w:val="1166"/>
          <w:marRight w:val="0"/>
          <w:marTop w:val="115"/>
          <w:marBottom w:val="0"/>
          <w:divBdr>
            <w:top w:val="none" w:sz="0" w:space="0" w:color="auto"/>
            <w:left w:val="none" w:sz="0" w:space="0" w:color="auto"/>
            <w:bottom w:val="none" w:sz="0" w:space="0" w:color="auto"/>
            <w:right w:val="none" w:sz="0" w:space="0" w:color="auto"/>
          </w:divBdr>
        </w:div>
        <w:div w:id="676732561">
          <w:marLeft w:val="1800"/>
          <w:marRight w:val="0"/>
          <w:marTop w:val="96"/>
          <w:marBottom w:val="0"/>
          <w:divBdr>
            <w:top w:val="none" w:sz="0" w:space="0" w:color="auto"/>
            <w:left w:val="none" w:sz="0" w:space="0" w:color="auto"/>
            <w:bottom w:val="none" w:sz="0" w:space="0" w:color="auto"/>
            <w:right w:val="none" w:sz="0" w:space="0" w:color="auto"/>
          </w:divBdr>
        </w:div>
        <w:div w:id="1864631413">
          <w:marLeft w:val="1800"/>
          <w:marRight w:val="0"/>
          <w:marTop w:val="96"/>
          <w:marBottom w:val="0"/>
          <w:divBdr>
            <w:top w:val="none" w:sz="0" w:space="0" w:color="auto"/>
            <w:left w:val="none" w:sz="0" w:space="0" w:color="auto"/>
            <w:bottom w:val="none" w:sz="0" w:space="0" w:color="auto"/>
            <w:right w:val="none" w:sz="0" w:space="0" w:color="auto"/>
          </w:divBdr>
        </w:div>
        <w:div w:id="1315449503">
          <w:marLeft w:val="1800"/>
          <w:marRight w:val="0"/>
          <w:marTop w:val="96"/>
          <w:marBottom w:val="0"/>
          <w:divBdr>
            <w:top w:val="none" w:sz="0" w:space="0" w:color="auto"/>
            <w:left w:val="none" w:sz="0" w:space="0" w:color="auto"/>
            <w:bottom w:val="none" w:sz="0" w:space="0" w:color="auto"/>
            <w:right w:val="none" w:sz="0" w:space="0" w:color="auto"/>
          </w:divBdr>
        </w:div>
        <w:div w:id="1543246190">
          <w:marLeft w:val="547"/>
          <w:marRight w:val="0"/>
          <w:marTop w:val="134"/>
          <w:marBottom w:val="0"/>
          <w:divBdr>
            <w:top w:val="none" w:sz="0" w:space="0" w:color="auto"/>
            <w:left w:val="none" w:sz="0" w:space="0" w:color="auto"/>
            <w:bottom w:val="none" w:sz="0" w:space="0" w:color="auto"/>
            <w:right w:val="none" w:sz="0" w:space="0" w:color="auto"/>
          </w:divBdr>
        </w:div>
        <w:div w:id="1698852892">
          <w:marLeft w:val="547"/>
          <w:marRight w:val="0"/>
          <w:marTop w:val="134"/>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0FDC4-2436-4BD1-9825-4A560933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4</cp:revision>
  <dcterms:created xsi:type="dcterms:W3CDTF">2018-08-08T05:39:00Z</dcterms:created>
  <dcterms:modified xsi:type="dcterms:W3CDTF">2018-08-09T13:06:00Z</dcterms:modified>
</cp:coreProperties>
</file>